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51" w:rsidRPr="00916A46" w:rsidRDefault="00816651" w:rsidP="003C3AAC">
      <w:pPr>
        <w:jc w:val="both"/>
        <w:rPr>
          <w:rStyle w:val="IntenseEmphasis"/>
          <w:rFonts w:ascii="Calibri" w:hAnsi="Calibri" w:cs="Calibri"/>
          <w:bCs w:val="0"/>
          <w:i w:val="0"/>
          <w:iCs w:val="0"/>
          <w:color w:val="auto"/>
        </w:rPr>
      </w:pPr>
      <w:r w:rsidRPr="00916A46">
        <w:rPr>
          <w:rStyle w:val="IntenseEmphasis"/>
          <w:rFonts w:ascii="Calibri" w:hAnsi="Calibri" w:cs="Calibri"/>
          <w:bCs w:val="0"/>
          <w:color w:val="auto"/>
          <w:sz w:val="32"/>
          <w:szCs w:val="32"/>
        </w:rPr>
        <w:t>Recomendaciones sobre el uso de antivirales para Influenza</w:t>
      </w:r>
      <w:r w:rsidRPr="00916A46">
        <w:rPr>
          <w:rStyle w:val="IntenseEmphasis"/>
          <w:rFonts w:ascii="Calibri" w:hAnsi="Calibri" w:cs="Calibri"/>
          <w:bCs w:val="0"/>
          <w:color w:val="auto"/>
          <w:sz w:val="32"/>
          <w:szCs w:val="32"/>
          <w:vertAlign w:val="superscript"/>
        </w:rPr>
        <w:t xml:space="preserve"> </w:t>
      </w:r>
    </w:p>
    <w:p w:rsidR="00816651" w:rsidRPr="00916A46" w:rsidRDefault="00816651" w:rsidP="003C3AAC">
      <w:pPr>
        <w:jc w:val="both"/>
        <w:rPr>
          <w:rFonts w:ascii="Calibri" w:hAnsi="Calibri" w:cs="Calibri"/>
          <w:b/>
          <w:sz w:val="28"/>
          <w:szCs w:val="28"/>
        </w:rPr>
      </w:pPr>
      <w:r w:rsidRPr="00916A46">
        <w:rPr>
          <w:rFonts w:ascii="Calibri" w:hAnsi="Calibri" w:cs="Calibri"/>
          <w:b/>
          <w:sz w:val="28"/>
          <w:szCs w:val="28"/>
        </w:rPr>
        <w:t>Indicación de tratamiento antiviral:</w:t>
      </w:r>
    </w:p>
    <w:p w:rsidR="00816651" w:rsidRPr="004F6B79" w:rsidRDefault="00816651" w:rsidP="003C3AAC">
      <w:pPr>
        <w:tabs>
          <w:tab w:val="left" w:pos="7219"/>
        </w:tabs>
        <w:autoSpaceDE w:val="0"/>
        <w:autoSpaceDN w:val="0"/>
        <w:adjustRightInd w:val="0"/>
        <w:ind w:left="708"/>
        <w:jc w:val="both"/>
        <w:rPr>
          <w:rFonts w:ascii="Calibri" w:hAnsi="Calibri" w:cs="Calibri"/>
        </w:rPr>
      </w:pPr>
    </w:p>
    <w:p w:rsidR="00816651" w:rsidRPr="00916A46" w:rsidRDefault="00816651" w:rsidP="003C3AAC">
      <w:pPr>
        <w:jc w:val="both"/>
        <w:rPr>
          <w:rFonts w:ascii="Calibri" w:hAnsi="Calibri" w:cs="Calibri"/>
          <w:i/>
          <w:iCs/>
          <w:sz w:val="28"/>
          <w:szCs w:val="28"/>
        </w:rPr>
      </w:pPr>
      <w:r w:rsidRPr="00916A46">
        <w:rPr>
          <w:rFonts w:ascii="Calibri" w:hAnsi="Calibri" w:cs="Calibri"/>
          <w:i/>
          <w:iCs/>
          <w:sz w:val="28"/>
          <w:szCs w:val="28"/>
        </w:rPr>
        <w:t>Niños</w:t>
      </w:r>
    </w:p>
    <w:p w:rsidR="00816651" w:rsidRPr="004F6B79" w:rsidRDefault="00816651" w:rsidP="003C3AAC">
      <w:pPr>
        <w:jc w:val="both"/>
        <w:rPr>
          <w:rFonts w:ascii="Calibri" w:hAnsi="Calibri" w:cs="Calibri"/>
          <w:i/>
          <w:iCs/>
          <w:color w:val="4F6228"/>
          <w:sz w:val="28"/>
          <w:szCs w:val="28"/>
        </w:rPr>
      </w:pPr>
    </w:p>
    <w:p w:rsidR="00816651" w:rsidRPr="00342D06" w:rsidRDefault="00816651" w:rsidP="00342D06">
      <w:pPr>
        <w:pStyle w:val="ListParagraph"/>
        <w:numPr>
          <w:ilvl w:val="0"/>
          <w:numId w:val="4"/>
        </w:numPr>
        <w:jc w:val="both"/>
        <w:rPr>
          <w:rFonts w:ascii="Calibri" w:hAnsi="Calibri" w:cs="Calibri"/>
        </w:rPr>
      </w:pPr>
      <w:r w:rsidRPr="00916A46">
        <w:rPr>
          <w:i/>
          <w:iCs/>
          <w:sz w:val="28"/>
          <w:szCs w:val="28"/>
        </w:rPr>
        <w:t xml:space="preserve">Pacientes ambulatorios: </w:t>
      </w:r>
      <w:r w:rsidRPr="004F6B79">
        <w:t xml:space="preserve">sólo se tratan los </w:t>
      </w:r>
      <w:r w:rsidRPr="003A5941">
        <w:t xml:space="preserve">pacientes con </w:t>
      </w:r>
      <w:r w:rsidR="003A5941">
        <w:t>Factores de R</w:t>
      </w:r>
      <w:r w:rsidRPr="003A5941">
        <w:t>iesgo</w:t>
      </w:r>
      <w:r w:rsidR="0029329D">
        <w:t>*</w:t>
      </w:r>
      <w:r w:rsidRPr="004F6B79">
        <w:t xml:space="preserve"> para complicaciones por Influenza con </w:t>
      </w:r>
      <w:r w:rsidRPr="003A5941">
        <w:t>menos de 48 horas</w:t>
      </w:r>
      <w:r w:rsidRPr="004F6B79">
        <w:t xml:space="preserve"> de inicio de los síntomas</w:t>
      </w:r>
      <w:r w:rsidRPr="0029329D">
        <w:t xml:space="preserve">. </w:t>
      </w:r>
      <w:r w:rsidR="0029329D" w:rsidRPr="0029329D">
        <w:t xml:space="preserve"> </w:t>
      </w:r>
      <w:r w:rsidR="0029329D" w:rsidRPr="005D707F">
        <w:t>Para el tratamiento antiviral no se considera factor de riesgo a todo niño menor de 2 años.</w:t>
      </w:r>
      <w:r w:rsidR="0029329D" w:rsidRPr="0029329D">
        <w:t xml:space="preserve"> </w:t>
      </w:r>
      <w:r w:rsidRPr="0029329D">
        <w:t>(</w:t>
      </w:r>
      <w:r w:rsidR="003A5941" w:rsidRPr="0029329D">
        <w:t xml:space="preserve">Ver Factores de riesgo- </w:t>
      </w:r>
      <w:r w:rsidRPr="0029329D">
        <w:t xml:space="preserve">Grupo </w:t>
      </w:r>
      <w:smartTag w:uri="urn:schemas-microsoft-com:office:smarttags" w:element="metricconverter">
        <w:smartTagPr>
          <w:attr w:name="ProductID" w:val="1 a"/>
        </w:smartTagPr>
        <w:r w:rsidRPr="0029329D">
          <w:t>1 a</w:t>
        </w:r>
      </w:smartTag>
      <w:r w:rsidRPr="0029329D">
        <w:t xml:space="preserve"> 5)</w:t>
      </w:r>
    </w:p>
    <w:p w:rsidR="00816651" w:rsidRPr="0029329D" w:rsidRDefault="00816651" w:rsidP="003C3AAC">
      <w:pPr>
        <w:pStyle w:val="ListParagraph"/>
        <w:numPr>
          <w:ilvl w:val="0"/>
          <w:numId w:val="5"/>
        </w:numPr>
        <w:shd w:val="clear" w:color="auto" w:fill="FFFFFF"/>
        <w:ind w:left="709"/>
        <w:jc w:val="both"/>
        <w:rPr>
          <w:rFonts w:ascii="Calibri" w:hAnsi="Calibri" w:cs="Calibri"/>
          <w:lang w:val="es-ES_tradnl" w:eastAsia="es-ES_tradnl"/>
        </w:rPr>
      </w:pPr>
      <w:r w:rsidRPr="00916A46">
        <w:rPr>
          <w:rFonts w:ascii="Calibri" w:hAnsi="Calibri" w:cs="Calibri"/>
          <w:i/>
          <w:iCs/>
          <w:sz w:val="28"/>
          <w:szCs w:val="28"/>
        </w:rPr>
        <w:t>Pacientes internados:</w:t>
      </w:r>
      <w:r w:rsidRPr="004F6B79">
        <w:rPr>
          <w:rFonts w:ascii="Calibri" w:hAnsi="Calibri" w:cs="Calibri"/>
          <w:color w:val="222222"/>
          <w:lang w:eastAsia="es-ES_tradnl"/>
        </w:rPr>
        <w:t xml:space="preserve"> se tratan </w:t>
      </w:r>
      <w:r w:rsidRPr="003A5941">
        <w:rPr>
          <w:rFonts w:ascii="Calibri" w:hAnsi="Calibri" w:cs="Calibri"/>
          <w:b/>
          <w:color w:val="222222"/>
          <w:lang w:eastAsia="es-ES_tradnl"/>
        </w:rPr>
        <w:t>todos los niños con presentación grave o progresiva</w:t>
      </w:r>
      <w:r w:rsidRPr="004F6B79">
        <w:rPr>
          <w:rFonts w:ascii="Calibri" w:hAnsi="Calibri" w:cs="Calibri"/>
          <w:color w:val="222222"/>
          <w:lang w:eastAsia="es-ES_tradnl"/>
        </w:rPr>
        <w:t xml:space="preserve"> que requiera cuidados intensivos sin esperar el resultado del laboratorio. Si el resultado es</w:t>
      </w:r>
      <w:r w:rsidR="003A5941">
        <w:rPr>
          <w:rFonts w:ascii="Calibri" w:hAnsi="Calibri" w:cs="Calibri"/>
          <w:color w:val="222222"/>
          <w:lang w:eastAsia="es-ES_tradnl"/>
        </w:rPr>
        <w:t xml:space="preserve"> </w:t>
      </w:r>
      <w:r w:rsidRPr="004F6B79">
        <w:rPr>
          <w:rFonts w:ascii="Calibri" w:hAnsi="Calibri" w:cs="Calibri"/>
          <w:color w:val="222222"/>
          <w:lang w:eastAsia="es-ES_tradnl"/>
        </w:rPr>
        <w:t xml:space="preserve">Influenza o negativo para virus respiratorios se deberá completar tratamiento. Si se recupera otro virus, </w:t>
      </w:r>
      <w:r w:rsidRPr="0029329D">
        <w:rPr>
          <w:rFonts w:ascii="Calibri" w:hAnsi="Calibri" w:cs="Calibri"/>
          <w:lang w:eastAsia="es-ES_tradnl"/>
        </w:rPr>
        <w:t>evaluar según criterio médico, gravedad y progresión de la enfermedad, edad del paciente, enfermedad de base, la posibilidad de mantener o suspender el tratamiento.</w:t>
      </w:r>
    </w:p>
    <w:p w:rsidR="00816651" w:rsidRPr="0029329D" w:rsidRDefault="00816651" w:rsidP="003C3AAC">
      <w:pPr>
        <w:pStyle w:val="ListParagraph"/>
        <w:numPr>
          <w:ilvl w:val="0"/>
          <w:numId w:val="5"/>
        </w:numPr>
        <w:shd w:val="clear" w:color="auto" w:fill="FFFFFF"/>
        <w:ind w:left="709"/>
        <w:jc w:val="both"/>
        <w:rPr>
          <w:rFonts w:ascii="Calibri" w:hAnsi="Calibri" w:cs="Calibri"/>
          <w:lang w:eastAsia="es-ES_tradnl"/>
        </w:rPr>
      </w:pPr>
      <w:r w:rsidRPr="004F6B79">
        <w:rPr>
          <w:rFonts w:ascii="Calibri" w:hAnsi="Calibri" w:cs="Calibri"/>
          <w:color w:val="222222"/>
          <w:lang w:eastAsia="es-ES_tradnl"/>
        </w:rPr>
        <w:t xml:space="preserve">En aquellos niños internados con cuadros moderados o leves, puede esperarse el resultado de </w:t>
      </w:r>
      <w:smartTag w:uri="urn:schemas-microsoft-com:office:smarttags" w:element="PersonName">
        <w:smartTagPr>
          <w:attr w:name="ProductID" w:val="la IFI"/>
        </w:smartTagPr>
        <w:r w:rsidRPr="004F6B79">
          <w:rPr>
            <w:rFonts w:ascii="Calibri" w:hAnsi="Calibri" w:cs="Calibri"/>
            <w:color w:val="222222"/>
            <w:lang w:eastAsia="es-ES_tradnl"/>
          </w:rPr>
          <w:t xml:space="preserve">la </w:t>
        </w:r>
        <w:r w:rsidRPr="0029329D">
          <w:rPr>
            <w:rFonts w:ascii="Calibri" w:hAnsi="Calibri" w:cs="Calibri"/>
            <w:lang w:eastAsia="es-ES_tradnl"/>
          </w:rPr>
          <w:t>IFI</w:t>
        </w:r>
      </w:smartTag>
      <w:r w:rsidRPr="004F6B79">
        <w:rPr>
          <w:rFonts w:ascii="Calibri" w:hAnsi="Calibri" w:cs="Calibri"/>
          <w:color w:val="FF0000"/>
          <w:lang w:eastAsia="es-ES_tradnl"/>
        </w:rPr>
        <w:t xml:space="preserve"> </w:t>
      </w:r>
      <w:r w:rsidRPr="004F6B79">
        <w:rPr>
          <w:rFonts w:ascii="Calibri" w:hAnsi="Calibri" w:cs="Calibri"/>
          <w:color w:val="222222"/>
          <w:lang w:eastAsia="es-ES_tradnl"/>
        </w:rPr>
        <w:t>para iniciar el tratamiento con antivirales</w:t>
      </w:r>
      <w:bookmarkStart w:id="0" w:name="BM13e41e8322ce04bf__ftnref2"/>
      <w:bookmarkEnd w:id="0"/>
      <w:r w:rsidR="0029329D">
        <w:rPr>
          <w:rFonts w:ascii="Calibri" w:hAnsi="Calibri" w:cs="Calibri"/>
          <w:color w:val="222222"/>
          <w:lang w:eastAsia="es-ES_tradnl"/>
        </w:rPr>
        <w:t>.</w:t>
      </w:r>
      <w:r w:rsidRPr="004F6B79">
        <w:rPr>
          <w:rFonts w:ascii="Calibri" w:hAnsi="Calibri" w:cs="Calibri"/>
          <w:color w:val="222222"/>
          <w:lang w:eastAsia="es-ES_tradnl"/>
        </w:rPr>
        <w:t xml:space="preserve"> </w:t>
      </w:r>
      <w:r w:rsidR="0029329D">
        <w:rPr>
          <w:rFonts w:ascii="Calibri" w:hAnsi="Calibri" w:cs="Calibri"/>
          <w:color w:val="222222"/>
          <w:lang w:eastAsia="es-ES_tradnl"/>
        </w:rPr>
        <w:t>Siempre que se</w:t>
      </w:r>
      <w:r w:rsidRPr="004F6B79">
        <w:rPr>
          <w:rFonts w:ascii="Calibri" w:hAnsi="Calibri" w:cs="Calibri"/>
          <w:color w:val="222222"/>
          <w:lang w:eastAsia="es-ES_tradnl"/>
        </w:rPr>
        <w:t xml:space="preserve"> dispon</w:t>
      </w:r>
      <w:r w:rsidR="0029329D">
        <w:rPr>
          <w:rFonts w:ascii="Calibri" w:hAnsi="Calibri" w:cs="Calibri"/>
          <w:color w:val="222222"/>
          <w:lang w:eastAsia="es-ES_tradnl"/>
        </w:rPr>
        <w:t>ga</w:t>
      </w:r>
      <w:r w:rsidRPr="004F6B79">
        <w:rPr>
          <w:rFonts w:ascii="Calibri" w:hAnsi="Calibri" w:cs="Calibri"/>
          <w:color w:val="222222"/>
          <w:lang w:eastAsia="es-ES_tradnl"/>
        </w:rPr>
        <w:t xml:space="preserve"> de IFI con resultados dentro de las 24 horas de ingreso del paciente. Si el resultado es positivo para Influenza, completar tratamiento. </w:t>
      </w:r>
      <w:r w:rsidRPr="0029329D">
        <w:rPr>
          <w:rFonts w:ascii="Calibri" w:hAnsi="Calibri" w:cs="Calibri"/>
          <w:lang w:eastAsia="es-ES_tradnl"/>
        </w:rPr>
        <w:t xml:space="preserve">Si se rescata otro virus respiratorio o el estudio es negativo, </w:t>
      </w:r>
      <w:r w:rsidR="0029329D">
        <w:rPr>
          <w:rFonts w:ascii="Calibri" w:hAnsi="Calibri" w:cs="Calibri"/>
          <w:lang w:eastAsia="es-ES_tradnl"/>
        </w:rPr>
        <w:t xml:space="preserve">al igual que en los </w:t>
      </w:r>
      <w:r w:rsidRPr="0029329D">
        <w:rPr>
          <w:rFonts w:ascii="Calibri" w:hAnsi="Calibri" w:cs="Calibri"/>
          <w:lang w:eastAsia="es-ES_tradnl"/>
        </w:rPr>
        <w:t xml:space="preserve">pacientes graves evaluar según criterio médico, gravedad y progresión de la enfermedad, </w:t>
      </w:r>
      <w:r w:rsidRPr="005D707F">
        <w:rPr>
          <w:rFonts w:ascii="Calibri" w:hAnsi="Calibri" w:cs="Calibri"/>
          <w:b/>
          <w:lang w:eastAsia="es-ES_tradnl"/>
        </w:rPr>
        <w:t>edad</w:t>
      </w:r>
      <w:r w:rsidRPr="0029329D">
        <w:rPr>
          <w:rFonts w:ascii="Calibri" w:hAnsi="Calibri" w:cs="Calibri"/>
          <w:lang w:eastAsia="es-ES_tradnl"/>
        </w:rPr>
        <w:t xml:space="preserve"> del paciente, presencia de factores de riesgo, la posibilidad de suspender el tratamiento antiviral específico</w:t>
      </w:r>
      <w:r w:rsidR="0029329D">
        <w:rPr>
          <w:rFonts w:ascii="Calibri" w:hAnsi="Calibri" w:cs="Calibri"/>
          <w:lang w:eastAsia="es-ES_tradnl"/>
        </w:rPr>
        <w:t>.</w:t>
      </w:r>
    </w:p>
    <w:p w:rsidR="00816651" w:rsidRPr="004F6B79" w:rsidRDefault="00816651" w:rsidP="003C3AAC">
      <w:pPr>
        <w:shd w:val="clear" w:color="auto" w:fill="FFFFFF"/>
        <w:ind w:left="709"/>
        <w:jc w:val="both"/>
        <w:rPr>
          <w:rFonts w:ascii="Calibri" w:hAnsi="Calibri" w:cs="Calibri"/>
          <w:lang w:eastAsia="es-AR"/>
        </w:rPr>
      </w:pPr>
    </w:p>
    <w:p w:rsidR="00816651" w:rsidRPr="004F6B79" w:rsidRDefault="0029329D" w:rsidP="003C3AAC">
      <w:pPr>
        <w:autoSpaceDE w:val="0"/>
        <w:autoSpaceDN w:val="0"/>
        <w:adjustRightInd w:val="0"/>
        <w:jc w:val="both"/>
        <w:rPr>
          <w:rFonts w:ascii="Calibri" w:hAnsi="Calibri" w:cs="Calibri"/>
          <w:lang w:eastAsia="es-AR"/>
        </w:rPr>
      </w:pPr>
      <w:r>
        <w:rPr>
          <w:rFonts w:ascii="Calibri" w:hAnsi="Calibri" w:cs="Calibri"/>
          <w:lang w:eastAsia="es-AR"/>
        </w:rPr>
        <w:t>*</w:t>
      </w:r>
      <w:r w:rsidR="00816651" w:rsidRPr="004F6B79">
        <w:rPr>
          <w:rFonts w:ascii="Calibri" w:hAnsi="Calibri" w:cs="Calibri"/>
          <w:lang w:eastAsia="es-AR"/>
        </w:rPr>
        <w:t xml:space="preserve">Los </w:t>
      </w:r>
      <w:r w:rsidR="003A5941">
        <w:rPr>
          <w:rFonts w:ascii="Calibri" w:hAnsi="Calibri" w:cs="Calibri"/>
          <w:b/>
          <w:lang w:eastAsia="es-AR"/>
        </w:rPr>
        <w:t>Factores de R</w:t>
      </w:r>
      <w:r w:rsidR="00816651" w:rsidRPr="003A5941">
        <w:rPr>
          <w:rFonts w:ascii="Calibri" w:hAnsi="Calibri" w:cs="Calibri"/>
          <w:b/>
          <w:lang w:eastAsia="es-AR"/>
        </w:rPr>
        <w:t>iesgo para influenza A</w:t>
      </w:r>
      <w:r w:rsidR="00816651" w:rsidRPr="004F6B79">
        <w:rPr>
          <w:rFonts w:ascii="Calibri" w:hAnsi="Calibri" w:cs="Calibri"/>
          <w:lang w:eastAsia="es-AR"/>
        </w:rPr>
        <w:t xml:space="preserve"> son:</w:t>
      </w:r>
    </w:p>
    <w:p w:rsidR="00816651" w:rsidRPr="004F6B79" w:rsidRDefault="00816651" w:rsidP="003C3AAC">
      <w:pPr>
        <w:autoSpaceDE w:val="0"/>
        <w:autoSpaceDN w:val="0"/>
        <w:adjustRightInd w:val="0"/>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i/>
          <w:iCs/>
          <w:lang w:eastAsia="es-AR"/>
        </w:rPr>
      </w:pPr>
      <w:r w:rsidRPr="00916A46">
        <w:rPr>
          <w:rFonts w:ascii="Calibri" w:hAnsi="Calibri" w:cs="Calibri"/>
          <w:lang w:eastAsia="es-AR"/>
        </w:rPr>
        <w:t>Grupo 1</w:t>
      </w:r>
      <w:r w:rsidRPr="004F6B79">
        <w:rPr>
          <w:rFonts w:ascii="Calibri" w:hAnsi="Calibri" w:cs="Calibri"/>
          <w:color w:val="31849B"/>
          <w:lang w:eastAsia="es-AR"/>
        </w:rPr>
        <w:t>:</w:t>
      </w:r>
      <w:r w:rsidRPr="004F6B79">
        <w:rPr>
          <w:rFonts w:ascii="Calibri" w:hAnsi="Calibri" w:cs="Calibri"/>
          <w:lang w:eastAsia="es-AR"/>
        </w:rPr>
        <w:t xml:space="preserve"> </w:t>
      </w:r>
      <w:r w:rsidRPr="004F6B79">
        <w:rPr>
          <w:rFonts w:ascii="Calibri" w:hAnsi="Calibri" w:cs="Calibri"/>
          <w:i/>
          <w:iCs/>
          <w:lang w:eastAsia="es-AR"/>
        </w:rPr>
        <w:t>Enfermedades respiratorias:</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a) Enfermedad respiratoria crónica (hernia diafragmática, enfermedad pulmonar obstructiva crónica [EPOC], enfisema congénito, displasia broncopulmonar, traqueostomizados crónicos, bronquiectasias, fibrosis quística, etc.)</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b) Asma moderado y grave</w:t>
      </w:r>
    </w:p>
    <w:p w:rsidR="00816651" w:rsidRPr="004F6B79" w:rsidRDefault="00816651" w:rsidP="003C3AAC">
      <w:pPr>
        <w:autoSpaceDE w:val="0"/>
        <w:autoSpaceDN w:val="0"/>
        <w:adjustRightInd w:val="0"/>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i/>
          <w:iCs/>
          <w:lang w:eastAsia="es-AR"/>
        </w:rPr>
      </w:pPr>
      <w:r w:rsidRPr="00916A46">
        <w:rPr>
          <w:rFonts w:ascii="Calibri" w:hAnsi="Calibri" w:cs="Calibri"/>
          <w:lang w:eastAsia="es-AR"/>
        </w:rPr>
        <w:t>Grupo 2</w:t>
      </w:r>
      <w:r w:rsidRPr="004F6B79">
        <w:rPr>
          <w:rFonts w:ascii="Calibri" w:hAnsi="Calibri" w:cs="Calibri"/>
          <w:color w:val="31849B"/>
          <w:lang w:eastAsia="es-AR"/>
        </w:rPr>
        <w:t xml:space="preserve">: </w:t>
      </w:r>
      <w:r w:rsidRPr="004F6B79">
        <w:rPr>
          <w:rFonts w:ascii="Calibri" w:hAnsi="Calibri" w:cs="Calibri"/>
          <w:i/>
          <w:iCs/>
          <w:lang w:eastAsia="es-AR"/>
        </w:rPr>
        <w:t>Enfermedades cardiacas:</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a) Insuficiencia cardiaca, enfermedad coronaria, reemplazo valvular, valvulopatía</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b) Cardiopatías congénitas</w:t>
      </w:r>
    </w:p>
    <w:p w:rsidR="00816651" w:rsidRPr="004F6B79" w:rsidRDefault="00816651" w:rsidP="003C3AAC">
      <w:pPr>
        <w:autoSpaceDE w:val="0"/>
        <w:autoSpaceDN w:val="0"/>
        <w:adjustRightInd w:val="0"/>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i/>
          <w:iCs/>
          <w:lang w:eastAsia="es-AR"/>
        </w:rPr>
      </w:pPr>
      <w:r w:rsidRPr="00916A46">
        <w:rPr>
          <w:rFonts w:ascii="Calibri" w:hAnsi="Calibri" w:cs="Calibri"/>
          <w:lang w:eastAsia="es-AR"/>
        </w:rPr>
        <w:t xml:space="preserve">Grupo 3: </w:t>
      </w:r>
      <w:r w:rsidRPr="004F6B79">
        <w:rPr>
          <w:rFonts w:ascii="Calibri" w:hAnsi="Calibri" w:cs="Calibri"/>
          <w:i/>
          <w:iCs/>
          <w:lang w:eastAsia="es-AR"/>
        </w:rPr>
        <w:t>Inmunodeficiencias congénitas o adquiridas (no hemato-oncológica).</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a) Infección por VIH</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b) Utilización de medicación inmunosupresora o corticoides a altas dosis (mayor a 2 mg/kg/día de metilprednisona o más de 20 mg/día o su equivalente por más de 14 días)</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c) Inmunodeficiencia congénita.</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d) Asplenia funcional o anatómica</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lastRenderedPageBreak/>
        <w:t>e) Desnutrición grave</w:t>
      </w:r>
    </w:p>
    <w:p w:rsidR="00816651" w:rsidRPr="004F6B79" w:rsidRDefault="00816651" w:rsidP="003C3AAC">
      <w:pPr>
        <w:autoSpaceDE w:val="0"/>
        <w:autoSpaceDN w:val="0"/>
        <w:adjustRightInd w:val="0"/>
        <w:ind w:left="993" w:hanging="284"/>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color w:val="31849B"/>
          <w:lang w:eastAsia="es-AR"/>
        </w:rPr>
      </w:pPr>
      <w:r w:rsidRPr="00916A46">
        <w:rPr>
          <w:rFonts w:ascii="Calibri" w:hAnsi="Calibri" w:cs="Calibri"/>
          <w:lang w:eastAsia="es-AR"/>
        </w:rPr>
        <w:t>Grupo 4:</w:t>
      </w:r>
      <w:r w:rsidRPr="004F6B79">
        <w:rPr>
          <w:rFonts w:ascii="Calibri" w:hAnsi="Calibri" w:cs="Calibri"/>
          <w:color w:val="31849B"/>
          <w:lang w:eastAsia="es-AR"/>
        </w:rPr>
        <w:t xml:space="preserve"> </w:t>
      </w:r>
      <w:r w:rsidRPr="004F6B79">
        <w:rPr>
          <w:rFonts w:ascii="Calibri" w:hAnsi="Calibri" w:cs="Calibri"/>
          <w:i/>
          <w:iCs/>
          <w:lang w:eastAsia="es-AR"/>
        </w:rPr>
        <w:t>Pacientes Oncohematológicos y trasplantados</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a) Tumor de órgano sólido en tratamiento</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b) Enfermedad oncohematológica, hasta seis meses posteriores a la remisión completa</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c) Trasplantados de órganos sólidos o tejido hematopoyético</w:t>
      </w:r>
    </w:p>
    <w:p w:rsidR="00816651" w:rsidRPr="004F6B79" w:rsidRDefault="00816651" w:rsidP="003C3AAC">
      <w:pPr>
        <w:autoSpaceDE w:val="0"/>
        <w:autoSpaceDN w:val="0"/>
        <w:adjustRightInd w:val="0"/>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i/>
          <w:iCs/>
          <w:lang w:eastAsia="es-AR"/>
        </w:rPr>
      </w:pPr>
      <w:r w:rsidRPr="00916A46">
        <w:rPr>
          <w:rFonts w:ascii="Calibri" w:hAnsi="Calibri" w:cs="Calibri"/>
          <w:lang w:eastAsia="es-AR"/>
        </w:rPr>
        <w:t xml:space="preserve">Grupo 5: </w:t>
      </w:r>
      <w:r w:rsidRPr="004F6B79">
        <w:rPr>
          <w:rFonts w:ascii="Calibri" w:hAnsi="Calibri" w:cs="Calibri"/>
          <w:i/>
          <w:iCs/>
          <w:lang w:eastAsia="es-AR"/>
        </w:rPr>
        <w:t>Otros</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a) Obesos con índice de masa corporal [IMC] mayor a 40</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b) Diabéticos</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c) Personas con insuficiencia renal crónica en diálisis o con expectativas de ingresar a diálisis en los siguientes seis meses</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d) Retraso madurativo grave en menores de 18 años de vida</w:t>
      </w:r>
    </w:p>
    <w:p w:rsidR="00816651" w:rsidRPr="004F6B79" w:rsidRDefault="00D211A7" w:rsidP="003C3AAC">
      <w:pPr>
        <w:autoSpaceDE w:val="0"/>
        <w:autoSpaceDN w:val="0"/>
        <w:adjustRightInd w:val="0"/>
        <w:ind w:left="993" w:hanging="284"/>
        <w:jc w:val="both"/>
        <w:rPr>
          <w:rFonts w:ascii="Calibri" w:hAnsi="Calibri" w:cs="Calibri"/>
          <w:lang w:eastAsia="es-AR"/>
        </w:rPr>
      </w:pPr>
      <w:r>
        <w:rPr>
          <w:rFonts w:ascii="Calibri" w:hAnsi="Calibri" w:cs="Calibri"/>
          <w:lang w:eastAsia="es-AR"/>
        </w:rPr>
        <w:t xml:space="preserve">e) </w:t>
      </w:r>
      <w:r w:rsidR="00816651" w:rsidRPr="004F6B79">
        <w:rPr>
          <w:rFonts w:ascii="Calibri" w:hAnsi="Calibri" w:cs="Calibri"/>
          <w:lang w:eastAsia="es-AR"/>
        </w:rPr>
        <w:t>Síndromes genéticos, enfermedades neuromusculares con compromiso respiratorio y malformaciones congénitas graves</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f) Tratamiento crónico con acido acetilsalicílico en menores de 18 años.</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 xml:space="preserve">g) Convivientes de enfermos oncohematológicos </w:t>
      </w:r>
    </w:p>
    <w:p w:rsidR="00816651" w:rsidRPr="004F6B79" w:rsidRDefault="00816651" w:rsidP="003C3AAC">
      <w:pPr>
        <w:autoSpaceDE w:val="0"/>
        <w:autoSpaceDN w:val="0"/>
        <w:adjustRightInd w:val="0"/>
        <w:ind w:left="993" w:hanging="284"/>
        <w:jc w:val="both"/>
        <w:rPr>
          <w:rFonts w:ascii="Calibri" w:hAnsi="Calibri" w:cs="Calibri"/>
          <w:lang w:eastAsia="es-AR"/>
        </w:rPr>
      </w:pPr>
      <w:r w:rsidRPr="004F6B79">
        <w:rPr>
          <w:rFonts w:ascii="Calibri" w:hAnsi="Calibri" w:cs="Calibri"/>
          <w:lang w:eastAsia="es-AR"/>
        </w:rPr>
        <w:t xml:space="preserve">h) Convivientes de  prematuros menores de </w:t>
      </w:r>
      <w:smartTag w:uri="urn:schemas-microsoft-com:office:smarttags" w:element="metricconverter">
        <w:smartTagPr>
          <w:attr w:name="ProductID" w:val="1500 g"/>
        </w:smartTagPr>
        <w:r w:rsidRPr="004F6B79">
          <w:rPr>
            <w:rFonts w:ascii="Calibri" w:hAnsi="Calibri" w:cs="Calibri"/>
            <w:lang w:eastAsia="es-AR"/>
          </w:rPr>
          <w:t>1500 g</w:t>
        </w:r>
      </w:smartTag>
      <w:r w:rsidRPr="004F6B79">
        <w:rPr>
          <w:rFonts w:ascii="Calibri" w:hAnsi="Calibri" w:cs="Calibri"/>
          <w:lang w:eastAsia="es-AR"/>
        </w:rPr>
        <w:t>.</w:t>
      </w:r>
    </w:p>
    <w:p w:rsidR="00342D06" w:rsidRDefault="00342D06" w:rsidP="00342D06">
      <w:pPr>
        <w:autoSpaceDE w:val="0"/>
        <w:autoSpaceDN w:val="0"/>
        <w:adjustRightInd w:val="0"/>
        <w:jc w:val="both"/>
        <w:rPr>
          <w:rFonts w:ascii="Calibri" w:hAnsi="Calibri" w:cs="Calibri"/>
          <w:b/>
          <w:i/>
          <w:iCs/>
          <w:sz w:val="28"/>
          <w:szCs w:val="28"/>
        </w:rPr>
      </w:pPr>
      <w:bookmarkStart w:id="1" w:name="BM13e41e8322ce04bf__ftn1"/>
      <w:bookmarkStart w:id="2" w:name="BM13e41e8322ce04bf__ftn2"/>
      <w:bookmarkEnd w:id="1"/>
      <w:bookmarkEnd w:id="2"/>
    </w:p>
    <w:p w:rsidR="00816651" w:rsidRPr="00342D06" w:rsidRDefault="00816651" w:rsidP="00342D06">
      <w:pPr>
        <w:autoSpaceDE w:val="0"/>
        <w:autoSpaceDN w:val="0"/>
        <w:adjustRightInd w:val="0"/>
        <w:jc w:val="both"/>
        <w:rPr>
          <w:rFonts w:ascii="Calibri" w:hAnsi="Calibri" w:cs="Calibri"/>
          <w:lang w:eastAsia="es-AR"/>
        </w:rPr>
      </w:pPr>
      <w:r w:rsidRPr="00D211A7">
        <w:rPr>
          <w:rFonts w:ascii="Calibri" w:hAnsi="Calibri" w:cs="Calibri"/>
          <w:b/>
          <w:i/>
          <w:iCs/>
          <w:sz w:val="28"/>
          <w:szCs w:val="28"/>
        </w:rPr>
        <w:t>Quimioprofilaxis postexposición</w:t>
      </w:r>
    </w:p>
    <w:p w:rsidR="00816651" w:rsidRPr="004F6B79" w:rsidRDefault="00816651" w:rsidP="003C3AAC">
      <w:pPr>
        <w:autoSpaceDE w:val="0"/>
        <w:autoSpaceDN w:val="0"/>
        <w:adjustRightInd w:val="0"/>
        <w:jc w:val="both"/>
        <w:rPr>
          <w:rFonts w:ascii="Calibri" w:hAnsi="Calibri" w:cs="Calibri"/>
          <w:color w:val="080808"/>
          <w:lang w:eastAsia="es-AR"/>
        </w:rPr>
      </w:pPr>
      <w:r>
        <w:rPr>
          <w:noProof/>
          <w:lang w:val="es-AR" w:eastAsia="es-AR"/>
        </w:rPr>
        <w:pict>
          <v:roundrect id="_x0000_s1026" style="position:absolute;left:0;text-align:left;margin-left:-4.55pt;margin-top:4pt;width:505.55pt;height:35.1pt;z-index:251658240;visibility:visible" arcsize="10923f" filled="f" strokecolor="#0070c0">
            <v:shadow color="#868686"/>
          </v:roundrect>
        </w:pict>
      </w:r>
    </w:p>
    <w:p w:rsidR="00816651" w:rsidRPr="004F6B79" w:rsidRDefault="00816651" w:rsidP="003C3AAC">
      <w:pPr>
        <w:autoSpaceDE w:val="0"/>
        <w:autoSpaceDN w:val="0"/>
        <w:adjustRightInd w:val="0"/>
        <w:ind w:firstLine="708"/>
        <w:jc w:val="both"/>
        <w:rPr>
          <w:rFonts w:ascii="Calibri" w:hAnsi="Calibri" w:cs="Calibri"/>
          <w:color w:val="080808"/>
          <w:lang w:eastAsia="es-AR"/>
        </w:rPr>
      </w:pPr>
      <w:r w:rsidRPr="004F6B79">
        <w:rPr>
          <w:rFonts w:ascii="Calibri" w:hAnsi="Calibri" w:cs="Calibri"/>
          <w:color w:val="080808"/>
          <w:lang w:eastAsia="es-AR"/>
        </w:rPr>
        <w:t xml:space="preserve">La quimioprofilaxis disminuye pero no elimina el riesgo de padecer influenza. </w:t>
      </w:r>
      <w:r w:rsidR="003B620D">
        <w:rPr>
          <w:rFonts w:ascii="Calibri" w:hAnsi="Calibri" w:cs="Calibri"/>
          <w:color w:val="080808"/>
          <w:lang w:eastAsia="es-AR"/>
        </w:rPr>
        <w:t>La seroprotección se obtiene generalmente entre dos a tres semanas de la inmunización.</w:t>
      </w:r>
    </w:p>
    <w:p w:rsidR="00816651" w:rsidRPr="004F6B79" w:rsidRDefault="00816651" w:rsidP="003C3AAC">
      <w:pPr>
        <w:autoSpaceDE w:val="0"/>
        <w:autoSpaceDN w:val="0"/>
        <w:adjustRightInd w:val="0"/>
        <w:ind w:firstLine="708"/>
        <w:jc w:val="both"/>
        <w:rPr>
          <w:rFonts w:ascii="Calibri" w:hAnsi="Calibri" w:cs="Calibri"/>
          <w:color w:val="080808"/>
          <w:lang w:eastAsia="es-AR"/>
        </w:rPr>
      </w:pPr>
    </w:p>
    <w:p w:rsidR="003B620D" w:rsidRDefault="00816651" w:rsidP="003C3AAC">
      <w:pPr>
        <w:autoSpaceDE w:val="0"/>
        <w:autoSpaceDN w:val="0"/>
        <w:adjustRightInd w:val="0"/>
        <w:ind w:firstLine="708"/>
        <w:jc w:val="both"/>
        <w:rPr>
          <w:rFonts w:ascii="Calibri" w:hAnsi="Calibri" w:cs="Calibri"/>
          <w:lang w:eastAsia="es-AR"/>
        </w:rPr>
      </w:pPr>
      <w:r w:rsidRPr="004F6B79">
        <w:rPr>
          <w:rFonts w:ascii="Calibri" w:hAnsi="Calibri" w:cs="Calibri"/>
          <w:lang w:eastAsia="es-AR"/>
        </w:rPr>
        <w:t xml:space="preserve">Se deben administrar antivirales para quimioprofilaxis en los </w:t>
      </w:r>
      <w:r w:rsidR="003B620D">
        <w:rPr>
          <w:rFonts w:ascii="Calibri" w:hAnsi="Calibri" w:cs="Calibri"/>
          <w:lang w:eastAsia="es-AR"/>
        </w:rPr>
        <w:t xml:space="preserve">pacientes con </w:t>
      </w:r>
      <w:r w:rsidR="003B620D">
        <w:rPr>
          <w:rFonts w:ascii="Calibri" w:hAnsi="Calibri" w:cs="Calibri"/>
          <w:b/>
          <w:lang w:eastAsia="es-AR"/>
        </w:rPr>
        <w:t>F</w:t>
      </w:r>
      <w:r w:rsidR="003B620D" w:rsidRPr="003B620D">
        <w:rPr>
          <w:rFonts w:ascii="Calibri" w:hAnsi="Calibri" w:cs="Calibri"/>
          <w:b/>
          <w:lang w:eastAsia="es-AR"/>
        </w:rPr>
        <w:t xml:space="preserve">actores de </w:t>
      </w:r>
      <w:r w:rsidR="003B620D">
        <w:rPr>
          <w:rFonts w:ascii="Calibri" w:hAnsi="Calibri" w:cs="Calibri"/>
          <w:b/>
          <w:lang w:eastAsia="es-AR"/>
        </w:rPr>
        <w:t>R</w:t>
      </w:r>
      <w:r w:rsidR="003B620D" w:rsidRPr="003B620D">
        <w:rPr>
          <w:rFonts w:ascii="Calibri" w:hAnsi="Calibri" w:cs="Calibri"/>
          <w:b/>
          <w:lang w:eastAsia="es-AR"/>
        </w:rPr>
        <w:t>iesgo</w:t>
      </w:r>
      <w:r w:rsidRPr="004F6B79">
        <w:rPr>
          <w:rFonts w:ascii="Calibri" w:hAnsi="Calibri" w:cs="Calibri"/>
          <w:lang w:eastAsia="es-AR"/>
        </w:rPr>
        <w:t xml:space="preserve"> para complicaciones de Influenza que sean </w:t>
      </w:r>
      <w:r w:rsidRPr="003B620D">
        <w:rPr>
          <w:rFonts w:ascii="Calibri" w:hAnsi="Calibri" w:cs="Calibri"/>
          <w:b/>
          <w:lang w:eastAsia="es-AR"/>
        </w:rPr>
        <w:t>contactos estrechos con un caso de Influenza</w:t>
      </w:r>
      <w:r w:rsidR="003B620D">
        <w:rPr>
          <w:rFonts w:ascii="Calibri" w:hAnsi="Calibri" w:cs="Calibri"/>
          <w:lang w:eastAsia="es-AR"/>
        </w:rPr>
        <w:t>.</w:t>
      </w:r>
    </w:p>
    <w:p w:rsidR="004D3451" w:rsidRDefault="004D3451" w:rsidP="003C3AAC">
      <w:pPr>
        <w:autoSpaceDE w:val="0"/>
        <w:autoSpaceDN w:val="0"/>
        <w:adjustRightInd w:val="0"/>
        <w:ind w:firstLine="708"/>
        <w:jc w:val="both"/>
        <w:rPr>
          <w:rFonts w:ascii="Calibri" w:hAnsi="Calibri" w:cs="Calibri"/>
        </w:rPr>
      </w:pPr>
    </w:p>
    <w:p w:rsidR="00816651" w:rsidRPr="004F6B79" w:rsidRDefault="00816651" w:rsidP="003C3AAC">
      <w:pPr>
        <w:autoSpaceDE w:val="0"/>
        <w:autoSpaceDN w:val="0"/>
        <w:adjustRightInd w:val="0"/>
        <w:ind w:firstLine="708"/>
        <w:jc w:val="both"/>
        <w:rPr>
          <w:rFonts w:ascii="Calibri" w:hAnsi="Calibri" w:cs="Calibri"/>
          <w:lang w:eastAsia="es-AR"/>
        </w:rPr>
      </w:pPr>
      <w:r w:rsidRPr="004F6B79">
        <w:rPr>
          <w:rFonts w:ascii="Calibri" w:hAnsi="Calibri" w:cs="Calibri"/>
        </w:rPr>
        <w:t xml:space="preserve">Dado que la efectividad de la vacuna contra la influenza no es del 100%, la historia de vacunación no descarta que se pueda padecer una infección por virus influenza, por lo que el tratamiento antiviral empírico temprano debe iniciarse en las personas vacunadas con signos y síntomas de influenza en los </w:t>
      </w:r>
      <w:r w:rsidR="004D3451">
        <w:rPr>
          <w:rFonts w:ascii="Calibri" w:hAnsi="Calibri" w:cs="Calibri"/>
        </w:rPr>
        <w:t>grupos en los que está indicado.</w:t>
      </w:r>
    </w:p>
    <w:p w:rsidR="00816651" w:rsidRPr="004F6B79" w:rsidRDefault="00816651" w:rsidP="003C3AAC">
      <w:pPr>
        <w:autoSpaceDE w:val="0"/>
        <w:autoSpaceDN w:val="0"/>
        <w:adjustRightInd w:val="0"/>
        <w:ind w:firstLine="708"/>
        <w:jc w:val="both"/>
        <w:rPr>
          <w:rFonts w:ascii="Calibri" w:hAnsi="Calibri" w:cs="Calibri"/>
          <w:lang w:eastAsia="es-AR"/>
        </w:rPr>
      </w:pPr>
    </w:p>
    <w:p w:rsidR="00816651" w:rsidRPr="003A5941" w:rsidRDefault="00816651" w:rsidP="003C3AAC">
      <w:pPr>
        <w:autoSpaceDE w:val="0"/>
        <w:autoSpaceDN w:val="0"/>
        <w:adjustRightInd w:val="0"/>
        <w:ind w:firstLine="708"/>
        <w:jc w:val="both"/>
        <w:rPr>
          <w:rFonts w:ascii="Calibri" w:hAnsi="Calibri" w:cs="Calibri"/>
          <w:lang w:val="pt-BR" w:eastAsia="es-AR"/>
        </w:rPr>
      </w:pPr>
      <w:r w:rsidRPr="003A5941">
        <w:rPr>
          <w:rFonts w:ascii="Calibri" w:hAnsi="Calibri" w:cs="Calibri"/>
          <w:lang w:val="pt-BR" w:eastAsia="es-AR"/>
        </w:rPr>
        <w:t>Se recomienda Oseltamivir para la quimioprofilaxis antiviral de influenza H1N1, H3N2, B o influenza A.</w:t>
      </w:r>
    </w:p>
    <w:p w:rsidR="00816651" w:rsidRPr="003A5941" w:rsidRDefault="00816651" w:rsidP="003C3AAC">
      <w:pPr>
        <w:autoSpaceDE w:val="0"/>
        <w:autoSpaceDN w:val="0"/>
        <w:adjustRightInd w:val="0"/>
        <w:ind w:firstLine="708"/>
        <w:jc w:val="both"/>
        <w:rPr>
          <w:rFonts w:ascii="Calibri" w:hAnsi="Calibri" w:cs="Calibri"/>
          <w:lang w:val="pt-BR" w:eastAsia="es-AR"/>
        </w:rPr>
      </w:pPr>
    </w:p>
    <w:p w:rsidR="00816651" w:rsidRPr="004F6B79" w:rsidRDefault="00816651" w:rsidP="003C3AAC">
      <w:pPr>
        <w:autoSpaceDE w:val="0"/>
        <w:autoSpaceDN w:val="0"/>
        <w:adjustRightInd w:val="0"/>
        <w:ind w:firstLine="708"/>
        <w:jc w:val="both"/>
        <w:rPr>
          <w:rFonts w:ascii="Calibri" w:hAnsi="Calibri" w:cs="Calibri"/>
          <w:lang w:eastAsia="es-AR"/>
        </w:rPr>
      </w:pPr>
      <w:r w:rsidRPr="004F6B79">
        <w:rPr>
          <w:rFonts w:ascii="Calibri" w:hAnsi="Calibri" w:cs="Calibri"/>
          <w:lang w:eastAsia="es-AR"/>
        </w:rPr>
        <w:t>La quimioprofilaxis post exposición debe ser indicada cuando los antivirales pueden iniciarse dentro de las 48 horas de la última exposición y prolongarse durante 7 días.</w:t>
      </w:r>
    </w:p>
    <w:p w:rsidR="00816651" w:rsidRPr="004F6B79" w:rsidRDefault="00816651" w:rsidP="005C2E5E">
      <w:pPr>
        <w:autoSpaceDE w:val="0"/>
        <w:autoSpaceDN w:val="0"/>
        <w:adjustRightInd w:val="0"/>
        <w:ind w:firstLine="708"/>
        <w:jc w:val="both"/>
        <w:rPr>
          <w:rFonts w:ascii="Calibri" w:hAnsi="Calibri" w:cs="Calibri"/>
          <w:lang w:eastAsia="es-AR"/>
        </w:rPr>
      </w:pPr>
      <w:r w:rsidRPr="004F6B79">
        <w:rPr>
          <w:rFonts w:ascii="Calibri" w:hAnsi="Calibri" w:cs="Calibri"/>
          <w:lang w:eastAsia="es-AR"/>
        </w:rPr>
        <w:t>En la situación epidemiológica actual, la quimioprofilaxis a la población general no está justificada y es de recordar que su uso indiscriminado aumenta la posibilidad de resistencia a la medicación.</w:t>
      </w:r>
    </w:p>
    <w:p w:rsidR="00816651" w:rsidRPr="004F6B79" w:rsidRDefault="00816651" w:rsidP="003C3AAC">
      <w:pPr>
        <w:jc w:val="both"/>
        <w:rPr>
          <w:rFonts w:ascii="Calibri" w:hAnsi="Calibri" w:cs="Calibri"/>
          <w:lang w:eastAsia="es-AR"/>
        </w:rPr>
      </w:pPr>
    </w:p>
    <w:p w:rsidR="00816651" w:rsidRPr="004F6B79" w:rsidRDefault="00816651" w:rsidP="003C3AAC">
      <w:pPr>
        <w:rPr>
          <w:rFonts w:ascii="Calibri" w:hAnsi="Calibri" w:cs="Calibri"/>
          <w:lang w:eastAsia="es-AR"/>
        </w:rPr>
      </w:pPr>
    </w:p>
    <w:p w:rsidR="00816651" w:rsidRPr="004D3451" w:rsidRDefault="00816651" w:rsidP="003C3AAC">
      <w:pPr>
        <w:autoSpaceDE w:val="0"/>
        <w:autoSpaceDN w:val="0"/>
        <w:adjustRightInd w:val="0"/>
        <w:jc w:val="both"/>
        <w:rPr>
          <w:rFonts w:ascii="Calibri" w:hAnsi="Calibri" w:cs="Calibri"/>
          <w:b/>
          <w:lang w:eastAsia="es-AR"/>
        </w:rPr>
      </w:pPr>
      <w:r w:rsidRPr="004D3451">
        <w:rPr>
          <w:rFonts w:ascii="Calibri" w:hAnsi="Calibri" w:cs="Calibri"/>
          <w:b/>
          <w:lang w:eastAsia="es-AR"/>
        </w:rPr>
        <w:t>Administración de Oseltamivir</w:t>
      </w:r>
    </w:p>
    <w:p w:rsidR="00816651" w:rsidRPr="004F6B79" w:rsidRDefault="00816651" w:rsidP="003C3AAC">
      <w:pPr>
        <w:autoSpaceDE w:val="0"/>
        <w:autoSpaceDN w:val="0"/>
        <w:adjustRightInd w:val="0"/>
        <w:ind w:firstLine="708"/>
        <w:jc w:val="both"/>
        <w:rPr>
          <w:rFonts w:ascii="Calibri" w:hAnsi="Calibri" w:cs="Calibri"/>
          <w:lang w:eastAsia="es-AR"/>
        </w:rPr>
      </w:pPr>
    </w:p>
    <w:p w:rsidR="00816651" w:rsidRPr="004F6B79" w:rsidRDefault="00816651" w:rsidP="003C3AAC">
      <w:pPr>
        <w:autoSpaceDE w:val="0"/>
        <w:autoSpaceDN w:val="0"/>
        <w:adjustRightInd w:val="0"/>
        <w:rPr>
          <w:rFonts w:ascii="Calibri" w:hAnsi="Calibri" w:cs="Calibri"/>
          <w:lang w:eastAsia="es-AR"/>
        </w:rPr>
      </w:pPr>
      <w:r w:rsidRPr="004F6B79">
        <w:rPr>
          <w:rFonts w:ascii="Calibri" w:hAnsi="Calibri" w:cs="Calibri"/>
          <w:sz w:val="22"/>
          <w:szCs w:val="22"/>
        </w:rPr>
        <w:t xml:space="preserve">  Indicación de tratamiento antiviral para Influenza </w:t>
      </w:r>
      <w:r w:rsidR="004D3451" w:rsidRPr="004F6B79">
        <w:rPr>
          <w:rFonts w:ascii="Calibri" w:hAnsi="Calibri" w:cs="Calibri"/>
          <w:sz w:val="22"/>
          <w:szCs w:val="22"/>
        </w:rPr>
        <w:t>niños de un año de edad o  mayores (según el peso)</w:t>
      </w:r>
      <w:r w:rsidR="004D3451">
        <w:rPr>
          <w:rFonts w:ascii="Calibri" w:hAnsi="Calibri" w:cs="Calibri"/>
          <w:sz w:val="22"/>
          <w:szCs w:val="22"/>
        </w:rPr>
        <w:t xml:space="preserve"> y en niños menores de 1 año </w:t>
      </w:r>
      <w:r w:rsidRPr="004F6B79">
        <w:rPr>
          <w:rFonts w:ascii="Calibri" w:hAnsi="Calibri" w:cs="Calibri"/>
          <w:sz w:val="22"/>
          <w:szCs w:val="22"/>
        </w:rPr>
        <w:t xml:space="preserve"> </w:t>
      </w:r>
    </w:p>
    <w:tbl>
      <w:tblPr>
        <w:tblW w:w="5000" w:type="pct"/>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tblPr>
      <w:tblGrid>
        <w:gridCol w:w="4094"/>
        <w:gridCol w:w="4960"/>
      </w:tblGrid>
      <w:tr w:rsidR="00816651" w:rsidRPr="004F6B79">
        <w:trPr>
          <w:trHeight w:val="481"/>
          <w:jc w:val="center"/>
        </w:trPr>
        <w:tc>
          <w:tcPr>
            <w:tcW w:w="5000" w:type="pct"/>
            <w:gridSpan w:val="2"/>
            <w:shd w:val="clear" w:color="auto" w:fill="8DB3E2"/>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8"/>
                <w:szCs w:val="28"/>
                <w:lang w:val="es-AR"/>
              </w:rPr>
              <w:t>Oseltamivir - Tratamiento en Niños ≥12 meses o mayores</w:t>
            </w:r>
          </w:p>
        </w:tc>
      </w:tr>
      <w:tr w:rsidR="00816651" w:rsidRPr="004F6B79">
        <w:trPr>
          <w:trHeight w:val="247"/>
          <w:jc w:val="center"/>
        </w:trPr>
        <w:tc>
          <w:tcPr>
            <w:tcW w:w="2261" w:type="pct"/>
            <w:shd w:val="clear" w:color="auto" w:fill="95B3D7"/>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Peso</w:t>
            </w:r>
          </w:p>
        </w:tc>
        <w:tc>
          <w:tcPr>
            <w:tcW w:w="2739" w:type="pct"/>
            <w:shd w:val="clear" w:color="auto" w:fill="95B3D7"/>
          </w:tcPr>
          <w:p w:rsidR="00816651" w:rsidRPr="004F6B79" w:rsidRDefault="00D66DCE" w:rsidP="00B1262F">
            <w:pPr>
              <w:autoSpaceDE w:val="0"/>
              <w:autoSpaceDN w:val="0"/>
              <w:adjustRightInd w:val="0"/>
              <w:jc w:val="both"/>
              <w:rPr>
                <w:rFonts w:ascii="Calibri" w:hAnsi="Calibri" w:cs="Calibri"/>
                <w:lang w:val="es-ES_tradnl" w:eastAsia="en-US"/>
              </w:rPr>
            </w:pPr>
            <w:r>
              <w:rPr>
                <w:rFonts w:ascii="Calibri" w:hAnsi="Calibri" w:cs="Calibri"/>
                <w:sz w:val="28"/>
                <w:szCs w:val="28"/>
                <w:lang w:val="es-AR"/>
              </w:rPr>
              <w:t>Dosis recomendada por 5</w:t>
            </w:r>
            <w:r w:rsidR="00816651" w:rsidRPr="004F6B79">
              <w:rPr>
                <w:rFonts w:ascii="Calibri" w:hAnsi="Calibri" w:cs="Calibri"/>
                <w:sz w:val="28"/>
                <w:szCs w:val="28"/>
                <w:lang w:val="es-AR"/>
              </w:rPr>
              <w:t xml:space="preserve"> días</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&lt;</w:t>
            </w:r>
            <w:smartTag w:uri="urn:schemas-microsoft-com:office:smarttags" w:element="metricconverter">
              <w:smartTagPr>
                <w:attr w:name="ProductID" w:val="15 kg"/>
              </w:smartTagPr>
              <w:r w:rsidRPr="004F6B79">
                <w:rPr>
                  <w:rFonts w:ascii="Calibri" w:hAnsi="Calibri" w:cs="Calibri"/>
                  <w:sz w:val="22"/>
                  <w:szCs w:val="22"/>
                  <w:lang w:val="es-ES_tradnl" w:eastAsia="en-US"/>
                </w:rPr>
                <w:t>15 kg</w:t>
              </w:r>
            </w:smartTag>
          </w:p>
        </w:tc>
        <w:tc>
          <w:tcPr>
            <w:tcW w:w="2739" w:type="pct"/>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30 mg c/12hs</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15–23 kg</w:t>
            </w:r>
          </w:p>
        </w:tc>
        <w:tc>
          <w:tcPr>
            <w:tcW w:w="2739" w:type="pct"/>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45 mg c/12hs</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24–40 kg</w:t>
            </w:r>
          </w:p>
        </w:tc>
        <w:tc>
          <w:tcPr>
            <w:tcW w:w="2739" w:type="pct"/>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60 mg c/12hs</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&gt;</w:t>
            </w:r>
            <w:smartTag w:uri="urn:schemas-microsoft-com:office:smarttags" w:element="metricconverter">
              <w:smartTagPr>
                <w:attr w:name="ProductID" w:val="40 kg"/>
              </w:smartTagPr>
              <w:r w:rsidRPr="004F6B79">
                <w:rPr>
                  <w:rFonts w:ascii="Calibri" w:hAnsi="Calibri" w:cs="Calibri"/>
                  <w:sz w:val="22"/>
                  <w:szCs w:val="22"/>
                  <w:lang w:val="es-ES_tradnl" w:eastAsia="en-US"/>
                </w:rPr>
                <w:t>40 kg</w:t>
              </w:r>
            </w:smartTag>
          </w:p>
        </w:tc>
        <w:tc>
          <w:tcPr>
            <w:tcW w:w="2739" w:type="pct"/>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75mg c/12 hs</w:t>
            </w:r>
          </w:p>
        </w:tc>
      </w:tr>
      <w:tr w:rsidR="00816651" w:rsidRPr="004F6B79">
        <w:trPr>
          <w:trHeight w:val="234"/>
          <w:jc w:val="center"/>
        </w:trPr>
        <w:tc>
          <w:tcPr>
            <w:tcW w:w="5000" w:type="pct"/>
            <w:gridSpan w:val="2"/>
            <w:shd w:val="clear" w:color="auto" w:fill="8DB3E2"/>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8"/>
                <w:szCs w:val="28"/>
                <w:lang w:val="es-AR"/>
              </w:rPr>
              <w:t>Oseltamivir -  Tratamiento en niños &lt;1 año</w:t>
            </w:r>
          </w:p>
        </w:tc>
      </w:tr>
      <w:tr w:rsidR="00816651" w:rsidRPr="004F6B79">
        <w:trPr>
          <w:trHeight w:val="234"/>
          <w:jc w:val="center"/>
        </w:trPr>
        <w:tc>
          <w:tcPr>
            <w:tcW w:w="2261" w:type="pct"/>
            <w:shd w:val="clear" w:color="auto" w:fill="95B3D7"/>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Edad</w:t>
            </w:r>
          </w:p>
        </w:tc>
        <w:tc>
          <w:tcPr>
            <w:tcW w:w="2739" w:type="pct"/>
            <w:shd w:val="clear" w:color="auto" w:fill="95B3D7"/>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 xml:space="preserve">Dosis recomendada por </w:t>
            </w:r>
            <w:r w:rsidR="00D66DCE">
              <w:rPr>
                <w:rFonts w:ascii="Calibri" w:hAnsi="Calibri" w:cs="Calibri"/>
                <w:sz w:val="22"/>
                <w:szCs w:val="22"/>
                <w:lang w:val="es-ES_tradnl" w:eastAsia="en-US"/>
              </w:rPr>
              <w:t>5</w:t>
            </w:r>
            <w:r w:rsidRPr="004F6B79">
              <w:rPr>
                <w:rFonts w:ascii="Calibri" w:hAnsi="Calibri" w:cs="Calibri"/>
                <w:sz w:val="22"/>
                <w:szCs w:val="22"/>
                <w:lang w:val="es-ES_tradnl" w:eastAsia="en-US"/>
              </w:rPr>
              <w:t xml:space="preserve"> días**</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3-5 meses</w:t>
            </w:r>
          </w:p>
        </w:tc>
        <w:tc>
          <w:tcPr>
            <w:tcW w:w="2739" w:type="pct"/>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20 mg c/12 hs</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6-11 meses</w:t>
            </w:r>
          </w:p>
        </w:tc>
        <w:tc>
          <w:tcPr>
            <w:tcW w:w="2739" w:type="pct"/>
          </w:tcPr>
          <w:p w:rsidR="00816651" w:rsidRPr="004F6B79" w:rsidRDefault="00816651" w:rsidP="00B1262F">
            <w:pPr>
              <w:autoSpaceDE w:val="0"/>
              <w:autoSpaceDN w:val="0"/>
              <w:adjustRightInd w:val="0"/>
              <w:jc w:val="both"/>
              <w:rPr>
                <w:rFonts w:ascii="Calibri" w:hAnsi="Calibri" w:cs="Calibri"/>
                <w:lang w:val="es-ES_tradnl" w:eastAsia="en-US"/>
              </w:rPr>
            </w:pPr>
            <w:r w:rsidRPr="004F6B79">
              <w:rPr>
                <w:rFonts w:ascii="Calibri" w:hAnsi="Calibri" w:cs="Calibri"/>
                <w:sz w:val="22"/>
                <w:szCs w:val="22"/>
                <w:lang w:val="es-ES_tradnl" w:eastAsia="en-US"/>
              </w:rPr>
              <w:t>25 mg c/12 hs</w:t>
            </w:r>
          </w:p>
        </w:tc>
      </w:tr>
    </w:tbl>
    <w:p w:rsidR="00816651" w:rsidRPr="004F6B79" w:rsidRDefault="00816651" w:rsidP="003C3AAC">
      <w:pPr>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sz w:val="20"/>
          <w:szCs w:val="20"/>
          <w:lang w:eastAsia="es-AR"/>
        </w:rPr>
      </w:pPr>
      <w:r w:rsidRPr="004F6B79">
        <w:rPr>
          <w:rFonts w:ascii="Calibri" w:hAnsi="Calibri" w:cs="Calibri"/>
          <w:sz w:val="20"/>
          <w:szCs w:val="20"/>
          <w:lang w:eastAsia="es-AR"/>
        </w:rPr>
        <w:t>** 2-3 mg/kg. Dos veces por día</w:t>
      </w:r>
    </w:p>
    <w:p w:rsidR="00816651" w:rsidRPr="004F6B79" w:rsidRDefault="00816651" w:rsidP="003C3AAC">
      <w:pPr>
        <w:autoSpaceDE w:val="0"/>
        <w:autoSpaceDN w:val="0"/>
        <w:adjustRightInd w:val="0"/>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lang w:eastAsia="es-AR"/>
        </w:rPr>
      </w:pPr>
      <w:r w:rsidRPr="004F6B79">
        <w:rPr>
          <w:rFonts w:ascii="Calibri" w:hAnsi="Calibri" w:cs="Calibri"/>
          <w:lang w:eastAsia="es-AR"/>
        </w:rPr>
        <w:t xml:space="preserve">Las formas farmacéuticas son: </w:t>
      </w:r>
    </w:p>
    <w:p w:rsidR="00816651" w:rsidRPr="004F6B79" w:rsidRDefault="00816651" w:rsidP="003C3AAC">
      <w:pPr>
        <w:numPr>
          <w:ilvl w:val="0"/>
          <w:numId w:val="3"/>
        </w:numPr>
        <w:autoSpaceDE w:val="0"/>
        <w:autoSpaceDN w:val="0"/>
        <w:adjustRightInd w:val="0"/>
        <w:jc w:val="both"/>
        <w:rPr>
          <w:rFonts w:ascii="Calibri" w:hAnsi="Calibri" w:cs="Calibri"/>
          <w:i/>
          <w:iCs/>
          <w:lang w:eastAsia="es-AR"/>
        </w:rPr>
      </w:pPr>
      <w:r w:rsidRPr="004F6B79">
        <w:rPr>
          <w:rFonts w:ascii="Calibri" w:hAnsi="Calibri" w:cs="Calibri"/>
          <w:i/>
          <w:iCs/>
          <w:lang w:eastAsia="es-AR"/>
        </w:rPr>
        <w:t xml:space="preserve">Cápsulas 75 mg </w:t>
      </w:r>
    </w:p>
    <w:p w:rsidR="00816651" w:rsidRPr="004F6B79" w:rsidRDefault="00816651" w:rsidP="003C3AAC">
      <w:pPr>
        <w:numPr>
          <w:ilvl w:val="0"/>
          <w:numId w:val="3"/>
        </w:numPr>
        <w:autoSpaceDE w:val="0"/>
        <w:autoSpaceDN w:val="0"/>
        <w:adjustRightInd w:val="0"/>
        <w:jc w:val="both"/>
        <w:rPr>
          <w:rFonts w:ascii="Calibri" w:hAnsi="Calibri" w:cs="Calibri"/>
          <w:i/>
          <w:iCs/>
          <w:lang w:eastAsia="es-AR"/>
        </w:rPr>
      </w:pPr>
      <w:r w:rsidRPr="004F6B79">
        <w:rPr>
          <w:rFonts w:ascii="Calibri" w:hAnsi="Calibri" w:cs="Calibri"/>
          <w:i/>
          <w:iCs/>
          <w:lang w:eastAsia="es-AR"/>
        </w:rPr>
        <w:t>Polvo suspensión de 12mg por ml</w:t>
      </w:r>
    </w:p>
    <w:p w:rsidR="00816651" w:rsidRPr="004F6B79" w:rsidRDefault="00816651" w:rsidP="003C3AAC">
      <w:pPr>
        <w:autoSpaceDE w:val="0"/>
        <w:autoSpaceDN w:val="0"/>
        <w:adjustRightInd w:val="0"/>
        <w:jc w:val="both"/>
        <w:rPr>
          <w:rFonts w:ascii="Calibri" w:hAnsi="Calibri" w:cs="Calibri"/>
          <w:lang w:eastAsia="es-AR"/>
        </w:rPr>
      </w:pPr>
    </w:p>
    <w:p w:rsidR="00816651" w:rsidRPr="00D211A7" w:rsidRDefault="00816651" w:rsidP="003C3AAC">
      <w:pPr>
        <w:autoSpaceDE w:val="0"/>
        <w:autoSpaceDN w:val="0"/>
        <w:adjustRightInd w:val="0"/>
        <w:jc w:val="both"/>
        <w:rPr>
          <w:rFonts w:ascii="Calibri" w:hAnsi="Calibri" w:cs="Calibri"/>
          <w:b/>
          <w:lang w:eastAsia="es-AR"/>
        </w:rPr>
      </w:pPr>
      <w:r w:rsidRPr="00D211A7">
        <w:rPr>
          <w:rFonts w:ascii="Calibri" w:hAnsi="Calibri" w:cs="Calibri"/>
          <w:b/>
          <w:lang w:eastAsia="es-AR"/>
        </w:rPr>
        <w:t>El 26 de mayo del 2009 el ANMAT de acuerdo a nota nº331 publicó Recomendaciones sobre el uso de Oseltamivir en pediatría en niños que no pueden tragar cápsulas</w:t>
      </w:r>
      <w:r w:rsidR="00D211A7" w:rsidRPr="00D211A7">
        <w:rPr>
          <w:rFonts w:ascii="Calibri" w:hAnsi="Calibri" w:cs="Calibri"/>
          <w:b/>
          <w:lang w:eastAsia="es-AR"/>
        </w:rPr>
        <w:t xml:space="preserve"> (si no cuentan con jarabe)</w:t>
      </w:r>
      <w:r w:rsidRPr="00D211A7">
        <w:rPr>
          <w:rFonts w:ascii="Calibri" w:hAnsi="Calibri" w:cs="Calibri"/>
          <w:b/>
          <w:lang w:eastAsia="es-AR"/>
        </w:rPr>
        <w:t xml:space="preserve">. </w:t>
      </w:r>
    </w:p>
    <w:p w:rsidR="00816651" w:rsidRPr="004F6B79" w:rsidRDefault="00816651" w:rsidP="003C3AAC">
      <w:pPr>
        <w:autoSpaceDE w:val="0"/>
        <w:autoSpaceDN w:val="0"/>
        <w:adjustRightInd w:val="0"/>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lang w:eastAsia="es-AR"/>
        </w:rPr>
      </w:pPr>
      <w:r w:rsidRPr="004F6B79">
        <w:rPr>
          <w:rFonts w:ascii="Calibri" w:hAnsi="Calibri" w:cs="Calibri"/>
          <w:lang w:eastAsia="es-AR"/>
        </w:rPr>
        <w:t>Se requiere</w:t>
      </w:r>
    </w:p>
    <w:p w:rsidR="00816651" w:rsidRPr="004F6B79" w:rsidRDefault="00816651" w:rsidP="003C3AAC">
      <w:pPr>
        <w:numPr>
          <w:ilvl w:val="0"/>
          <w:numId w:val="1"/>
        </w:numPr>
        <w:tabs>
          <w:tab w:val="left" w:pos="567"/>
        </w:tabs>
        <w:autoSpaceDE w:val="0"/>
        <w:autoSpaceDN w:val="0"/>
        <w:adjustRightInd w:val="0"/>
        <w:ind w:left="142" w:hanging="142"/>
        <w:jc w:val="both"/>
        <w:rPr>
          <w:rFonts w:ascii="Calibri" w:hAnsi="Calibri" w:cs="Calibri"/>
          <w:lang w:eastAsia="es-AR"/>
        </w:rPr>
      </w:pPr>
      <w:r w:rsidRPr="004F6B79">
        <w:rPr>
          <w:rFonts w:ascii="Calibri" w:hAnsi="Calibri" w:cs="Calibri"/>
          <w:lang w:eastAsia="es-AR"/>
        </w:rPr>
        <w:t>Una cápsula de Oseltamivir de 30 o 45 mg, según prescripción médica</w:t>
      </w:r>
    </w:p>
    <w:p w:rsidR="00816651" w:rsidRPr="004F6B79" w:rsidRDefault="00816651" w:rsidP="003C3AAC">
      <w:pPr>
        <w:numPr>
          <w:ilvl w:val="0"/>
          <w:numId w:val="1"/>
        </w:numPr>
        <w:tabs>
          <w:tab w:val="left" w:pos="567"/>
        </w:tabs>
        <w:autoSpaceDE w:val="0"/>
        <w:autoSpaceDN w:val="0"/>
        <w:adjustRightInd w:val="0"/>
        <w:ind w:left="567" w:hanging="567"/>
        <w:jc w:val="both"/>
        <w:rPr>
          <w:rFonts w:ascii="Calibri" w:hAnsi="Calibri" w:cs="Calibri"/>
          <w:lang w:eastAsia="es-AR"/>
        </w:rPr>
      </w:pPr>
      <w:r w:rsidRPr="004F6B79">
        <w:rPr>
          <w:rFonts w:ascii="Calibri" w:hAnsi="Calibri" w:cs="Calibri"/>
          <w:lang w:eastAsia="es-AR"/>
        </w:rPr>
        <w:t>Un pequeño recipiente de vidrio u acero inoxidable y una espátula pequeña de plástico duro o cucharita</w:t>
      </w:r>
    </w:p>
    <w:p w:rsidR="00816651" w:rsidRPr="004F6B79" w:rsidRDefault="00816651" w:rsidP="003C3AAC">
      <w:pPr>
        <w:numPr>
          <w:ilvl w:val="0"/>
          <w:numId w:val="1"/>
        </w:numPr>
        <w:tabs>
          <w:tab w:val="left" w:pos="567"/>
        </w:tabs>
        <w:autoSpaceDE w:val="0"/>
        <w:autoSpaceDN w:val="0"/>
        <w:adjustRightInd w:val="0"/>
        <w:ind w:left="567" w:hanging="567"/>
        <w:jc w:val="both"/>
        <w:rPr>
          <w:rFonts w:ascii="Calibri" w:hAnsi="Calibri" w:cs="Calibri"/>
          <w:lang w:eastAsia="es-AR"/>
        </w:rPr>
      </w:pPr>
      <w:r w:rsidRPr="004F6B79">
        <w:rPr>
          <w:rFonts w:ascii="Calibri" w:hAnsi="Calibri" w:cs="Calibri"/>
          <w:lang w:eastAsia="es-AR"/>
        </w:rPr>
        <w:t>Un alimento de gusto agradable que el niño acepte, preferentemente de consistencia cremosa tipo flancito, en pequeña cantidad, para mezclar con el medicamento y enmascarar su sabor. Evitar jugos de frutas cítricas, miel y líquidos calientes.</w:t>
      </w:r>
    </w:p>
    <w:p w:rsidR="00816651" w:rsidRPr="004F6B79" w:rsidRDefault="00816651" w:rsidP="003C3AAC">
      <w:pPr>
        <w:tabs>
          <w:tab w:val="left" w:pos="567"/>
        </w:tabs>
        <w:autoSpaceDE w:val="0"/>
        <w:autoSpaceDN w:val="0"/>
        <w:adjustRightInd w:val="0"/>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lang w:eastAsia="es-AR"/>
        </w:rPr>
      </w:pPr>
      <w:r w:rsidRPr="004F6B79">
        <w:rPr>
          <w:rFonts w:ascii="Calibri" w:hAnsi="Calibri" w:cs="Calibri"/>
          <w:lang w:eastAsia="es-AR"/>
        </w:rPr>
        <w:t>Procedimiento</w:t>
      </w:r>
    </w:p>
    <w:p w:rsidR="00816651" w:rsidRPr="004F6B79" w:rsidRDefault="00816651" w:rsidP="003C3AAC">
      <w:pPr>
        <w:numPr>
          <w:ilvl w:val="0"/>
          <w:numId w:val="2"/>
        </w:numPr>
        <w:autoSpaceDE w:val="0"/>
        <w:autoSpaceDN w:val="0"/>
        <w:adjustRightInd w:val="0"/>
        <w:ind w:left="567" w:hanging="567"/>
        <w:jc w:val="both"/>
        <w:rPr>
          <w:rFonts w:ascii="Calibri" w:hAnsi="Calibri" w:cs="Calibri"/>
          <w:lang w:eastAsia="es-AR"/>
        </w:rPr>
      </w:pPr>
      <w:r w:rsidRPr="004F6B79">
        <w:rPr>
          <w:rFonts w:ascii="Calibri" w:hAnsi="Calibri" w:cs="Calibri"/>
          <w:lang w:eastAsia="es-AR"/>
        </w:rPr>
        <w:t>En una zona previamente limpia, con las manos bien lavadas con abundante agua y jabón y secas, proceder a retirar una cápsula del blíster.</w:t>
      </w:r>
    </w:p>
    <w:p w:rsidR="00816651" w:rsidRPr="004F6B79" w:rsidRDefault="00816651" w:rsidP="003C3AAC">
      <w:pPr>
        <w:numPr>
          <w:ilvl w:val="0"/>
          <w:numId w:val="2"/>
        </w:numPr>
        <w:autoSpaceDE w:val="0"/>
        <w:autoSpaceDN w:val="0"/>
        <w:adjustRightInd w:val="0"/>
        <w:ind w:left="567" w:hanging="567"/>
        <w:jc w:val="both"/>
        <w:rPr>
          <w:rFonts w:ascii="Calibri" w:hAnsi="Calibri" w:cs="Calibri"/>
          <w:lang w:eastAsia="es-AR"/>
        </w:rPr>
      </w:pPr>
      <w:r w:rsidRPr="004F6B79">
        <w:rPr>
          <w:rFonts w:ascii="Calibri" w:hAnsi="Calibri" w:cs="Calibri"/>
          <w:lang w:eastAsia="es-AR"/>
        </w:rPr>
        <w:t xml:space="preserve">Sobre el recipiente dejar caer el contenido de la cápsula. Para ello se debe tomar, con las manos secas, un extremo de la cápsula con cada mano y rotar suavemente tirando hacia fuera para que se separen las dos mitades de la cápsula, que son de distinto color. Verificar que todo el polvillo blanco de su interior se deposite en el fondo del recipiente. </w:t>
      </w:r>
    </w:p>
    <w:p w:rsidR="00816651" w:rsidRPr="004F6B79" w:rsidRDefault="00816651" w:rsidP="003C3AAC">
      <w:pPr>
        <w:autoSpaceDE w:val="0"/>
        <w:autoSpaceDN w:val="0"/>
        <w:adjustRightInd w:val="0"/>
        <w:ind w:left="567" w:hanging="567"/>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lang w:eastAsia="es-AR"/>
        </w:rPr>
      </w:pPr>
      <w:r w:rsidRPr="004F6B79">
        <w:rPr>
          <w:rFonts w:ascii="Calibri" w:hAnsi="Calibri" w:cs="Calibri"/>
          <w:lang w:eastAsia="es-AR"/>
        </w:rPr>
        <w:t>Precaución: manejar el contenido de la cápsula con cuidado ya que el polvillo es irritante para la piel y los ojos.</w:t>
      </w:r>
    </w:p>
    <w:p w:rsidR="00816651" w:rsidRPr="004F6B79" w:rsidRDefault="00816651" w:rsidP="003C3AAC">
      <w:pPr>
        <w:autoSpaceDE w:val="0"/>
        <w:autoSpaceDN w:val="0"/>
        <w:adjustRightInd w:val="0"/>
        <w:ind w:left="567" w:hanging="567"/>
        <w:jc w:val="both"/>
        <w:rPr>
          <w:rFonts w:ascii="Calibri" w:hAnsi="Calibri" w:cs="Calibri"/>
          <w:lang w:eastAsia="es-AR"/>
        </w:rPr>
      </w:pPr>
    </w:p>
    <w:p w:rsidR="00816651" w:rsidRPr="004F6B79" w:rsidRDefault="00816651" w:rsidP="003C3AAC">
      <w:pPr>
        <w:numPr>
          <w:ilvl w:val="0"/>
          <w:numId w:val="2"/>
        </w:numPr>
        <w:autoSpaceDE w:val="0"/>
        <w:autoSpaceDN w:val="0"/>
        <w:adjustRightInd w:val="0"/>
        <w:ind w:left="567" w:hanging="567"/>
        <w:jc w:val="both"/>
        <w:rPr>
          <w:rFonts w:ascii="Calibri" w:hAnsi="Calibri" w:cs="Calibri"/>
          <w:lang w:eastAsia="es-AR"/>
        </w:rPr>
      </w:pPr>
      <w:r w:rsidRPr="004F6B79">
        <w:rPr>
          <w:rFonts w:ascii="Calibri" w:hAnsi="Calibri" w:cs="Calibri"/>
          <w:lang w:eastAsia="es-AR"/>
        </w:rPr>
        <w:t>Incorporar una o más cucharaditas del alimento de sabor agradable, mezclar cuidadosamente y dársela al niño, asegurándose de que todo el polvillo haya sido ingerido. También puede comenzarse con postre solo y luego intercalar la mezcla, para su mejor aceptación.</w:t>
      </w:r>
    </w:p>
    <w:p w:rsidR="00816651" w:rsidRPr="004F6B79" w:rsidRDefault="00816651" w:rsidP="003C3AAC">
      <w:pPr>
        <w:autoSpaceDE w:val="0"/>
        <w:autoSpaceDN w:val="0"/>
        <w:adjustRightInd w:val="0"/>
        <w:jc w:val="both"/>
        <w:rPr>
          <w:rFonts w:ascii="Calibri" w:hAnsi="Calibri" w:cs="Calibri"/>
          <w:lang w:eastAsia="es-AR"/>
        </w:rPr>
      </w:pPr>
    </w:p>
    <w:p w:rsidR="00816651" w:rsidRPr="004F6B79" w:rsidRDefault="00816651" w:rsidP="003C3AAC">
      <w:pPr>
        <w:autoSpaceDE w:val="0"/>
        <w:autoSpaceDN w:val="0"/>
        <w:adjustRightInd w:val="0"/>
        <w:jc w:val="both"/>
        <w:rPr>
          <w:rFonts w:ascii="Calibri" w:hAnsi="Calibri" w:cs="Calibri"/>
          <w:lang w:eastAsia="es-AR"/>
        </w:rPr>
      </w:pPr>
      <w:r w:rsidRPr="004F6B79">
        <w:rPr>
          <w:rFonts w:ascii="Calibri" w:hAnsi="Calibri" w:cs="Calibri"/>
          <w:lang w:eastAsia="es-AR"/>
        </w:rPr>
        <w:t>Nota: Si se prepara con 75 mg, se puede tomar dicha cápsula y siguiendo las indicaciones en cuanto a procedimiento del ANMAT, diluir su contenido en 5 cm3 de agua (quedan 15 mg por cm3) y calcular la dosis necesaria para nuestro paciente.</w:t>
      </w:r>
    </w:p>
    <w:p w:rsidR="00816651" w:rsidRPr="004F6B79" w:rsidRDefault="00816651" w:rsidP="003C3AAC">
      <w:pPr>
        <w:autoSpaceDE w:val="0"/>
        <w:autoSpaceDN w:val="0"/>
        <w:adjustRightInd w:val="0"/>
        <w:jc w:val="both"/>
        <w:rPr>
          <w:rFonts w:ascii="Calibri" w:hAnsi="Calibri" w:cs="Calibri"/>
          <w:lang w:eastAsia="es-AR"/>
        </w:rPr>
      </w:pPr>
      <w:r>
        <w:rPr>
          <w:noProof/>
          <w:lang w:val="es-AR" w:eastAsia="es-AR"/>
        </w:rPr>
        <w:pict>
          <v:roundrect id="AutoShape 37" o:spid="_x0000_s1027" style="position:absolute;left:0;text-align:left;margin-left:-7.3pt;margin-top:12.9pt;width:508.3pt;height:69.45pt;z-index:251657216;visibility:visible" arcsize="10923f" filled="f" strokecolor="#e36c0a">
            <v:shadow color="#868686"/>
          </v:roundrect>
        </w:pict>
      </w:r>
    </w:p>
    <w:p w:rsidR="00816651" w:rsidRPr="004F6B79" w:rsidRDefault="00816651" w:rsidP="003C3AAC">
      <w:pPr>
        <w:autoSpaceDE w:val="0"/>
        <w:autoSpaceDN w:val="0"/>
        <w:adjustRightInd w:val="0"/>
        <w:jc w:val="both"/>
        <w:rPr>
          <w:rFonts w:ascii="Calibri" w:hAnsi="Calibri" w:cs="Calibri"/>
          <w:lang w:eastAsia="es-AR"/>
        </w:rPr>
      </w:pPr>
    </w:p>
    <w:p w:rsidR="00816651" w:rsidRPr="004F6B79" w:rsidRDefault="00816651" w:rsidP="003C3AAC">
      <w:pPr>
        <w:autoSpaceDE w:val="0"/>
        <w:autoSpaceDN w:val="0"/>
        <w:adjustRightInd w:val="0"/>
        <w:ind w:left="567" w:hanging="567"/>
        <w:jc w:val="both"/>
        <w:rPr>
          <w:rFonts w:ascii="Calibri" w:hAnsi="Calibri" w:cs="Calibri"/>
          <w:color w:val="000000"/>
          <w:lang w:eastAsia="es-AR"/>
        </w:rPr>
      </w:pPr>
      <w:r w:rsidRPr="004F6B79">
        <w:rPr>
          <w:rFonts w:ascii="Calibri" w:hAnsi="Calibri" w:cs="Calibri"/>
          <w:color w:val="000000"/>
          <w:lang w:eastAsia="es-AR"/>
        </w:rPr>
        <w:t>No administrar ningún medicamento que contenga salicilatos (aspirina, subsalicilato de bismuto) por riesgo de Síndrome de Reye. Para descender la fiebre se recomienda paracetamol u otros AINES.</w:t>
      </w:r>
    </w:p>
    <w:p w:rsidR="00816651" w:rsidRPr="004F6B79" w:rsidRDefault="00816651" w:rsidP="003C3AAC">
      <w:pPr>
        <w:autoSpaceDE w:val="0"/>
        <w:autoSpaceDN w:val="0"/>
        <w:adjustRightInd w:val="0"/>
        <w:ind w:left="567" w:hanging="567"/>
        <w:jc w:val="both"/>
        <w:rPr>
          <w:rFonts w:ascii="Calibri" w:hAnsi="Calibri" w:cs="Calibri"/>
          <w:color w:val="000000"/>
          <w:lang w:eastAsia="es-AR"/>
        </w:rPr>
      </w:pPr>
    </w:p>
    <w:p w:rsidR="00816651" w:rsidRPr="004F6B79" w:rsidRDefault="00816651" w:rsidP="003C3AAC">
      <w:pPr>
        <w:jc w:val="both"/>
        <w:rPr>
          <w:rFonts w:ascii="Calibri" w:hAnsi="Calibri" w:cs="Calibri"/>
          <w:lang w:eastAsia="es-AR"/>
        </w:rPr>
      </w:pPr>
    </w:p>
    <w:p w:rsidR="00816651" w:rsidRPr="00D211A7" w:rsidRDefault="00816651" w:rsidP="003C3AAC">
      <w:pPr>
        <w:autoSpaceDE w:val="0"/>
        <w:autoSpaceDN w:val="0"/>
        <w:adjustRightInd w:val="0"/>
        <w:rPr>
          <w:rFonts w:ascii="Calibri" w:hAnsi="Calibri" w:cs="Calibri"/>
          <w:b/>
          <w:lang w:eastAsia="es-AR"/>
        </w:rPr>
      </w:pPr>
      <w:r w:rsidRPr="00D211A7">
        <w:rPr>
          <w:rFonts w:ascii="Calibri" w:hAnsi="Calibri" w:cs="Calibri"/>
          <w:b/>
          <w:sz w:val="22"/>
          <w:szCs w:val="22"/>
        </w:rPr>
        <w:t xml:space="preserve">  Indicación de  profilaxis antiviral para Influenza</w:t>
      </w:r>
    </w:p>
    <w:p w:rsidR="00816651" w:rsidRPr="004F6B79" w:rsidRDefault="00816651" w:rsidP="003C3AAC">
      <w:pPr>
        <w:jc w:val="both"/>
        <w:rPr>
          <w:rFonts w:ascii="Calibri" w:hAnsi="Calibri" w:cs="Calibri"/>
          <w:lang w:eastAsia="es-AR"/>
        </w:rPr>
      </w:pPr>
    </w:p>
    <w:tbl>
      <w:tblPr>
        <w:tblW w:w="5000" w:type="pct"/>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tblPr>
      <w:tblGrid>
        <w:gridCol w:w="4094"/>
        <w:gridCol w:w="4960"/>
      </w:tblGrid>
      <w:tr w:rsidR="00816651" w:rsidRPr="004F6B79">
        <w:trPr>
          <w:trHeight w:val="481"/>
          <w:jc w:val="center"/>
        </w:trPr>
        <w:tc>
          <w:tcPr>
            <w:tcW w:w="5000" w:type="pct"/>
            <w:gridSpan w:val="2"/>
            <w:shd w:val="clear" w:color="auto" w:fill="8DB3E2"/>
          </w:tcPr>
          <w:p w:rsidR="00816651" w:rsidRPr="004F6B79" w:rsidRDefault="00816651" w:rsidP="00B1262F">
            <w:pPr>
              <w:autoSpaceDE w:val="0"/>
              <w:autoSpaceDN w:val="0"/>
              <w:adjustRightInd w:val="0"/>
              <w:jc w:val="both"/>
              <w:rPr>
                <w:rFonts w:ascii="Calibri" w:hAnsi="Calibri" w:cs="Calibri"/>
                <w:color w:val="FFFFFF"/>
                <w:lang w:val="es-ES_tradnl" w:eastAsia="en-US"/>
              </w:rPr>
            </w:pPr>
            <w:r w:rsidRPr="004F6B79">
              <w:rPr>
                <w:rFonts w:ascii="Calibri" w:hAnsi="Calibri" w:cs="Calibri"/>
                <w:color w:val="FFFFFF"/>
                <w:sz w:val="28"/>
                <w:szCs w:val="28"/>
                <w:lang w:val="es-AR"/>
              </w:rPr>
              <w:t>Oseltamivir - Profilaxis en Niños ≥12 meses o mayores</w:t>
            </w:r>
          </w:p>
        </w:tc>
      </w:tr>
      <w:tr w:rsidR="00816651" w:rsidRPr="004F6B79">
        <w:trPr>
          <w:trHeight w:val="247"/>
          <w:jc w:val="center"/>
        </w:trPr>
        <w:tc>
          <w:tcPr>
            <w:tcW w:w="2261" w:type="pct"/>
            <w:shd w:val="clear" w:color="auto" w:fill="95B3D7"/>
          </w:tcPr>
          <w:p w:rsidR="00816651" w:rsidRPr="004F6B79" w:rsidRDefault="00816651" w:rsidP="00B1262F">
            <w:pPr>
              <w:autoSpaceDE w:val="0"/>
              <w:autoSpaceDN w:val="0"/>
              <w:adjustRightInd w:val="0"/>
              <w:jc w:val="both"/>
              <w:rPr>
                <w:rFonts w:ascii="Calibri" w:hAnsi="Calibri" w:cs="Calibri"/>
                <w:color w:val="FFFFFF"/>
                <w:lang w:val="es-ES_tradnl" w:eastAsia="en-US"/>
              </w:rPr>
            </w:pPr>
            <w:r w:rsidRPr="004F6B79">
              <w:rPr>
                <w:rFonts w:ascii="Calibri" w:hAnsi="Calibri" w:cs="Calibri"/>
                <w:color w:val="FFFFFF"/>
                <w:sz w:val="22"/>
                <w:szCs w:val="22"/>
                <w:lang w:val="es-ES_tradnl" w:eastAsia="en-US"/>
              </w:rPr>
              <w:t>Peso</w:t>
            </w:r>
          </w:p>
        </w:tc>
        <w:tc>
          <w:tcPr>
            <w:tcW w:w="2739" w:type="pct"/>
            <w:shd w:val="clear" w:color="auto" w:fill="95B3D7"/>
          </w:tcPr>
          <w:p w:rsidR="00816651" w:rsidRPr="004F6B79" w:rsidRDefault="00816651" w:rsidP="00B1262F">
            <w:pPr>
              <w:autoSpaceDE w:val="0"/>
              <w:autoSpaceDN w:val="0"/>
              <w:adjustRightInd w:val="0"/>
              <w:jc w:val="both"/>
              <w:rPr>
                <w:rFonts w:ascii="Calibri" w:hAnsi="Calibri" w:cs="Calibri"/>
                <w:color w:val="FFFFFF"/>
                <w:lang w:val="es-ES_tradnl" w:eastAsia="en-US"/>
              </w:rPr>
            </w:pPr>
            <w:r w:rsidRPr="004F6B79">
              <w:rPr>
                <w:rFonts w:ascii="Calibri" w:hAnsi="Calibri" w:cs="Calibri"/>
                <w:color w:val="FFFFFF"/>
                <w:sz w:val="28"/>
                <w:szCs w:val="28"/>
                <w:lang w:val="es-AR"/>
              </w:rPr>
              <w:t xml:space="preserve">Dosis recomendada por </w:t>
            </w:r>
            <w:r w:rsidR="00D66DCE">
              <w:rPr>
                <w:rFonts w:ascii="Calibri" w:hAnsi="Calibri" w:cs="Calibri"/>
                <w:color w:val="FFFFFF"/>
                <w:sz w:val="28"/>
                <w:szCs w:val="28"/>
                <w:lang w:val="es-AR"/>
              </w:rPr>
              <w:t>7</w:t>
            </w:r>
            <w:r w:rsidRPr="004F6B79">
              <w:rPr>
                <w:rFonts w:ascii="Calibri" w:hAnsi="Calibri" w:cs="Calibri"/>
                <w:color w:val="FFFFFF"/>
                <w:sz w:val="28"/>
                <w:szCs w:val="28"/>
                <w:lang w:val="es-AR"/>
              </w:rPr>
              <w:t xml:space="preserve"> días</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color w:val="1F497D"/>
                <w:lang w:val="es-ES_tradnl" w:eastAsia="en-US"/>
              </w:rPr>
            </w:pPr>
            <w:r w:rsidRPr="004F6B79">
              <w:rPr>
                <w:rFonts w:ascii="Calibri" w:hAnsi="Calibri" w:cs="Calibri"/>
                <w:color w:val="1F497D"/>
                <w:sz w:val="22"/>
                <w:szCs w:val="22"/>
                <w:lang w:val="es-ES_tradnl" w:eastAsia="en-US"/>
              </w:rPr>
              <w:t>&lt;</w:t>
            </w:r>
            <w:smartTag w:uri="urn:schemas-microsoft-com:office:smarttags" w:element="metricconverter">
              <w:smartTagPr>
                <w:attr w:name="ProductID" w:val="15 kg"/>
              </w:smartTagPr>
              <w:r w:rsidRPr="004F6B79">
                <w:rPr>
                  <w:rFonts w:ascii="Calibri" w:hAnsi="Calibri" w:cs="Calibri"/>
                  <w:color w:val="1F497D"/>
                  <w:sz w:val="22"/>
                  <w:szCs w:val="22"/>
                  <w:lang w:val="es-ES_tradnl" w:eastAsia="en-US"/>
                </w:rPr>
                <w:t>15 kg</w:t>
              </w:r>
            </w:smartTag>
          </w:p>
        </w:tc>
        <w:tc>
          <w:tcPr>
            <w:tcW w:w="2739" w:type="pct"/>
          </w:tcPr>
          <w:p w:rsidR="00816651" w:rsidRPr="004F6B79" w:rsidRDefault="00816651" w:rsidP="00B1262F">
            <w:pPr>
              <w:autoSpaceDE w:val="0"/>
              <w:autoSpaceDN w:val="0"/>
              <w:adjustRightInd w:val="0"/>
              <w:jc w:val="both"/>
              <w:rPr>
                <w:rFonts w:ascii="Calibri" w:hAnsi="Calibri" w:cs="Calibri"/>
                <w:color w:val="000000"/>
                <w:lang w:val="es-ES_tradnl" w:eastAsia="en-US"/>
              </w:rPr>
            </w:pPr>
            <w:r w:rsidRPr="004F6B79">
              <w:rPr>
                <w:rFonts w:ascii="Calibri" w:hAnsi="Calibri" w:cs="Calibri"/>
                <w:color w:val="000000"/>
                <w:sz w:val="22"/>
                <w:szCs w:val="22"/>
                <w:lang w:val="es-ES_tradnl" w:eastAsia="en-US"/>
              </w:rPr>
              <w:t>30 mg / día</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color w:val="1F497D"/>
                <w:lang w:val="es-ES_tradnl" w:eastAsia="en-US"/>
              </w:rPr>
            </w:pPr>
            <w:r w:rsidRPr="004F6B79">
              <w:rPr>
                <w:rFonts w:ascii="Calibri" w:hAnsi="Calibri" w:cs="Calibri"/>
                <w:color w:val="1F497D"/>
                <w:sz w:val="22"/>
                <w:szCs w:val="22"/>
                <w:lang w:val="es-ES_tradnl" w:eastAsia="en-US"/>
              </w:rPr>
              <w:t>15–23 kg</w:t>
            </w:r>
          </w:p>
        </w:tc>
        <w:tc>
          <w:tcPr>
            <w:tcW w:w="2739" w:type="pct"/>
          </w:tcPr>
          <w:p w:rsidR="00816651" w:rsidRPr="004F6B79" w:rsidRDefault="00816651" w:rsidP="00B1262F">
            <w:pPr>
              <w:autoSpaceDE w:val="0"/>
              <w:autoSpaceDN w:val="0"/>
              <w:adjustRightInd w:val="0"/>
              <w:jc w:val="both"/>
              <w:rPr>
                <w:rFonts w:ascii="Calibri" w:hAnsi="Calibri" w:cs="Calibri"/>
                <w:color w:val="000000"/>
                <w:lang w:val="es-ES_tradnl" w:eastAsia="en-US"/>
              </w:rPr>
            </w:pPr>
            <w:r w:rsidRPr="004F6B79">
              <w:rPr>
                <w:rFonts w:ascii="Calibri" w:hAnsi="Calibri" w:cs="Calibri"/>
                <w:color w:val="000000"/>
                <w:sz w:val="22"/>
                <w:szCs w:val="22"/>
                <w:lang w:val="es-ES_tradnl" w:eastAsia="en-US"/>
              </w:rPr>
              <w:t>45 mg /día</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color w:val="1F497D"/>
                <w:lang w:val="es-ES_tradnl" w:eastAsia="en-US"/>
              </w:rPr>
            </w:pPr>
            <w:r w:rsidRPr="004F6B79">
              <w:rPr>
                <w:rFonts w:ascii="Calibri" w:hAnsi="Calibri" w:cs="Calibri"/>
                <w:color w:val="1F497D"/>
                <w:sz w:val="22"/>
                <w:szCs w:val="22"/>
                <w:lang w:val="es-ES_tradnl" w:eastAsia="en-US"/>
              </w:rPr>
              <w:t>24–40 kg</w:t>
            </w:r>
          </w:p>
        </w:tc>
        <w:tc>
          <w:tcPr>
            <w:tcW w:w="2739" w:type="pct"/>
          </w:tcPr>
          <w:p w:rsidR="00816651" w:rsidRPr="004F6B79" w:rsidRDefault="00816651" w:rsidP="00B1262F">
            <w:pPr>
              <w:autoSpaceDE w:val="0"/>
              <w:autoSpaceDN w:val="0"/>
              <w:adjustRightInd w:val="0"/>
              <w:jc w:val="both"/>
              <w:rPr>
                <w:rFonts w:ascii="Calibri" w:hAnsi="Calibri" w:cs="Calibri"/>
                <w:color w:val="000000"/>
                <w:lang w:val="es-ES_tradnl" w:eastAsia="en-US"/>
              </w:rPr>
            </w:pPr>
            <w:r w:rsidRPr="004F6B79">
              <w:rPr>
                <w:rFonts w:ascii="Calibri" w:hAnsi="Calibri" w:cs="Calibri"/>
                <w:color w:val="000000"/>
                <w:sz w:val="22"/>
                <w:szCs w:val="22"/>
                <w:lang w:val="es-ES_tradnl" w:eastAsia="en-US"/>
              </w:rPr>
              <w:t>60 mg /día</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color w:val="1F497D"/>
                <w:lang w:val="es-ES_tradnl" w:eastAsia="en-US"/>
              </w:rPr>
            </w:pPr>
            <w:r w:rsidRPr="004F6B79">
              <w:rPr>
                <w:rFonts w:ascii="Calibri" w:hAnsi="Calibri" w:cs="Calibri"/>
                <w:color w:val="1F497D"/>
                <w:sz w:val="22"/>
                <w:szCs w:val="22"/>
                <w:lang w:val="es-ES_tradnl" w:eastAsia="en-US"/>
              </w:rPr>
              <w:t>&gt;</w:t>
            </w:r>
            <w:smartTag w:uri="urn:schemas-microsoft-com:office:smarttags" w:element="metricconverter">
              <w:smartTagPr>
                <w:attr w:name="ProductID" w:val="40 kg"/>
              </w:smartTagPr>
              <w:r w:rsidRPr="004F6B79">
                <w:rPr>
                  <w:rFonts w:ascii="Calibri" w:hAnsi="Calibri" w:cs="Calibri"/>
                  <w:color w:val="1F497D"/>
                  <w:sz w:val="22"/>
                  <w:szCs w:val="22"/>
                  <w:lang w:val="es-ES_tradnl" w:eastAsia="en-US"/>
                </w:rPr>
                <w:t>40 kg</w:t>
              </w:r>
            </w:smartTag>
          </w:p>
        </w:tc>
        <w:tc>
          <w:tcPr>
            <w:tcW w:w="2739" w:type="pct"/>
          </w:tcPr>
          <w:p w:rsidR="00816651" w:rsidRPr="004F6B79" w:rsidRDefault="00816651" w:rsidP="00B1262F">
            <w:pPr>
              <w:autoSpaceDE w:val="0"/>
              <w:autoSpaceDN w:val="0"/>
              <w:adjustRightInd w:val="0"/>
              <w:jc w:val="both"/>
              <w:rPr>
                <w:rFonts w:ascii="Calibri" w:hAnsi="Calibri" w:cs="Calibri"/>
                <w:color w:val="000000"/>
                <w:lang w:val="es-ES_tradnl" w:eastAsia="en-US"/>
              </w:rPr>
            </w:pPr>
            <w:r w:rsidRPr="004F6B79">
              <w:rPr>
                <w:rFonts w:ascii="Calibri" w:hAnsi="Calibri" w:cs="Calibri"/>
                <w:color w:val="000000"/>
                <w:sz w:val="22"/>
                <w:szCs w:val="22"/>
                <w:lang w:val="es-ES_tradnl" w:eastAsia="en-US"/>
              </w:rPr>
              <w:t>75mg /día</w:t>
            </w:r>
          </w:p>
        </w:tc>
      </w:tr>
      <w:tr w:rsidR="00816651" w:rsidRPr="004F6B79">
        <w:trPr>
          <w:trHeight w:val="234"/>
          <w:jc w:val="center"/>
        </w:trPr>
        <w:tc>
          <w:tcPr>
            <w:tcW w:w="5000" w:type="pct"/>
            <w:gridSpan w:val="2"/>
            <w:shd w:val="clear" w:color="auto" w:fill="8DB3E2"/>
          </w:tcPr>
          <w:p w:rsidR="00816651" w:rsidRPr="004F6B79" w:rsidRDefault="00816651" w:rsidP="00B1262F">
            <w:pPr>
              <w:autoSpaceDE w:val="0"/>
              <w:autoSpaceDN w:val="0"/>
              <w:adjustRightInd w:val="0"/>
              <w:jc w:val="both"/>
              <w:rPr>
                <w:rFonts w:ascii="Calibri" w:hAnsi="Calibri" w:cs="Calibri"/>
                <w:color w:val="FFFFFF"/>
                <w:lang w:val="es-ES_tradnl" w:eastAsia="en-US"/>
              </w:rPr>
            </w:pPr>
            <w:r w:rsidRPr="004F6B79">
              <w:rPr>
                <w:rFonts w:ascii="Calibri" w:hAnsi="Calibri" w:cs="Calibri"/>
                <w:color w:val="FFFFFF"/>
                <w:sz w:val="28"/>
                <w:szCs w:val="28"/>
                <w:lang w:val="es-AR"/>
              </w:rPr>
              <w:t>Oseltamivir -  Tratamiento en niños &lt;1 año</w:t>
            </w:r>
          </w:p>
        </w:tc>
      </w:tr>
      <w:tr w:rsidR="00816651" w:rsidRPr="004F6B79">
        <w:trPr>
          <w:trHeight w:val="234"/>
          <w:jc w:val="center"/>
        </w:trPr>
        <w:tc>
          <w:tcPr>
            <w:tcW w:w="2261" w:type="pct"/>
            <w:shd w:val="clear" w:color="auto" w:fill="95B3D7"/>
          </w:tcPr>
          <w:p w:rsidR="00816651" w:rsidRPr="004F6B79" w:rsidRDefault="00816651" w:rsidP="00B1262F">
            <w:pPr>
              <w:autoSpaceDE w:val="0"/>
              <w:autoSpaceDN w:val="0"/>
              <w:adjustRightInd w:val="0"/>
              <w:jc w:val="both"/>
              <w:rPr>
                <w:rFonts w:ascii="Calibri" w:hAnsi="Calibri" w:cs="Calibri"/>
                <w:color w:val="FFFFFF"/>
                <w:lang w:val="es-ES_tradnl" w:eastAsia="en-US"/>
              </w:rPr>
            </w:pPr>
            <w:r w:rsidRPr="004F6B79">
              <w:rPr>
                <w:rFonts w:ascii="Calibri" w:hAnsi="Calibri" w:cs="Calibri"/>
                <w:color w:val="FFFFFF"/>
                <w:sz w:val="22"/>
                <w:szCs w:val="22"/>
                <w:lang w:val="es-ES_tradnl" w:eastAsia="en-US"/>
              </w:rPr>
              <w:t>Edad</w:t>
            </w:r>
          </w:p>
        </w:tc>
        <w:tc>
          <w:tcPr>
            <w:tcW w:w="2739" w:type="pct"/>
            <w:shd w:val="clear" w:color="auto" w:fill="95B3D7"/>
          </w:tcPr>
          <w:p w:rsidR="00816651" w:rsidRPr="004F6B79" w:rsidRDefault="00816651" w:rsidP="00B1262F">
            <w:pPr>
              <w:autoSpaceDE w:val="0"/>
              <w:autoSpaceDN w:val="0"/>
              <w:adjustRightInd w:val="0"/>
              <w:jc w:val="both"/>
              <w:rPr>
                <w:rFonts w:ascii="Calibri" w:hAnsi="Calibri" w:cs="Calibri"/>
                <w:color w:val="FFFFFF"/>
                <w:lang w:val="es-ES_tradnl" w:eastAsia="en-US"/>
              </w:rPr>
            </w:pPr>
            <w:r w:rsidRPr="004F6B79">
              <w:rPr>
                <w:rFonts w:ascii="Calibri" w:hAnsi="Calibri" w:cs="Calibri"/>
                <w:color w:val="FFFFFF"/>
                <w:sz w:val="22"/>
                <w:szCs w:val="22"/>
                <w:lang w:val="es-ES_tradnl" w:eastAsia="en-US"/>
              </w:rPr>
              <w:t xml:space="preserve">Dosis recomendada por </w:t>
            </w:r>
            <w:r w:rsidR="00D66DCE">
              <w:rPr>
                <w:rFonts w:ascii="Calibri" w:hAnsi="Calibri" w:cs="Calibri"/>
                <w:color w:val="FFFFFF"/>
                <w:sz w:val="22"/>
                <w:szCs w:val="22"/>
                <w:lang w:val="es-ES_tradnl" w:eastAsia="en-US"/>
              </w:rPr>
              <w:t>7</w:t>
            </w:r>
            <w:r w:rsidRPr="004F6B79">
              <w:rPr>
                <w:rFonts w:ascii="Calibri" w:hAnsi="Calibri" w:cs="Calibri"/>
                <w:color w:val="FFFFFF"/>
                <w:sz w:val="22"/>
                <w:szCs w:val="22"/>
                <w:lang w:val="es-ES_tradnl" w:eastAsia="en-US"/>
              </w:rPr>
              <w:t xml:space="preserve"> días</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color w:val="1F497D"/>
                <w:lang w:val="es-ES_tradnl" w:eastAsia="en-US"/>
              </w:rPr>
            </w:pPr>
            <w:r w:rsidRPr="004F6B79">
              <w:rPr>
                <w:rFonts w:ascii="Calibri" w:hAnsi="Calibri" w:cs="Calibri"/>
                <w:color w:val="1F497D"/>
                <w:sz w:val="22"/>
                <w:szCs w:val="22"/>
                <w:lang w:val="es-ES_tradnl" w:eastAsia="en-US"/>
              </w:rPr>
              <w:t>3-5 meses</w:t>
            </w:r>
          </w:p>
        </w:tc>
        <w:tc>
          <w:tcPr>
            <w:tcW w:w="2739" w:type="pct"/>
          </w:tcPr>
          <w:p w:rsidR="00816651" w:rsidRPr="004F6B79" w:rsidRDefault="00816651" w:rsidP="00B1262F">
            <w:pPr>
              <w:autoSpaceDE w:val="0"/>
              <w:autoSpaceDN w:val="0"/>
              <w:adjustRightInd w:val="0"/>
              <w:jc w:val="both"/>
              <w:rPr>
                <w:rFonts w:ascii="Calibri" w:hAnsi="Calibri" w:cs="Calibri"/>
                <w:color w:val="000000"/>
                <w:lang w:val="es-ES_tradnl" w:eastAsia="en-US"/>
              </w:rPr>
            </w:pPr>
            <w:r w:rsidRPr="004F6B79">
              <w:rPr>
                <w:rFonts w:ascii="Calibri" w:hAnsi="Calibri" w:cs="Calibri"/>
                <w:color w:val="000000"/>
                <w:sz w:val="22"/>
                <w:szCs w:val="22"/>
                <w:lang w:val="es-ES_tradnl" w:eastAsia="en-US"/>
              </w:rPr>
              <w:t>20 mg /día</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color w:val="1F497D"/>
                <w:lang w:val="es-ES_tradnl" w:eastAsia="en-US"/>
              </w:rPr>
            </w:pPr>
            <w:r w:rsidRPr="004F6B79">
              <w:rPr>
                <w:rFonts w:ascii="Calibri" w:hAnsi="Calibri" w:cs="Calibri"/>
                <w:color w:val="1F497D"/>
                <w:sz w:val="22"/>
                <w:szCs w:val="22"/>
                <w:lang w:val="es-ES_tradnl" w:eastAsia="en-US"/>
              </w:rPr>
              <w:t>6-11 meses</w:t>
            </w:r>
          </w:p>
        </w:tc>
        <w:tc>
          <w:tcPr>
            <w:tcW w:w="2739" w:type="pct"/>
          </w:tcPr>
          <w:p w:rsidR="00816651" w:rsidRPr="004F6B79" w:rsidRDefault="00816651" w:rsidP="00B1262F">
            <w:pPr>
              <w:autoSpaceDE w:val="0"/>
              <w:autoSpaceDN w:val="0"/>
              <w:adjustRightInd w:val="0"/>
              <w:jc w:val="both"/>
              <w:rPr>
                <w:rFonts w:ascii="Calibri" w:hAnsi="Calibri" w:cs="Calibri"/>
                <w:color w:val="000000"/>
                <w:lang w:val="es-ES_tradnl" w:eastAsia="en-US"/>
              </w:rPr>
            </w:pPr>
            <w:r w:rsidRPr="004F6B79">
              <w:rPr>
                <w:rFonts w:ascii="Calibri" w:hAnsi="Calibri" w:cs="Calibri"/>
                <w:color w:val="000000"/>
                <w:sz w:val="22"/>
                <w:szCs w:val="22"/>
                <w:lang w:val="es-ES_tradnl" w:eastAsia="en-US"/>
              </w:rPr>
              <w:t>25 mg /día</w:t>
            </w:r>
          </w:p>
        </w:tc>
      </w:tr>
      <w:tr w:rsidR="00816651" w:rsidRPr="004F6B79">
        <w:trPr>
          <w:trHeight w:val="234"/>
          <w:jc w:val="center"/>
        </w:trPr>
        <w:tc>
          <w:tcPr>
            <w:tcW w:w="5000" w:type="pct"/>
            <w:gridSpan w:val="2"/>
            <w:shd w:val="clear" w:color="auto" w:fill="DBE5F1"/>
          </w:tcPr>
          <w:p w:rsidR="00816651" w:rsidRPr="004F6B79" w:rsidRDefault="00816651" w:rsidP="00B1262F">
            <w:pPr>
              <w:autoSpaceDE w:val="0"/>
              <w:autoSpaceDN w:val="0"/>
              <w:adjustRightInd w:val="0"/>
              <w:jc w:val="both"/>
              <w:rPr>
                <w:rFonts w:ascii="Calibri" w:hAnsi="Calibri" w:cs="Calibri"/>
                <w:color w:val="000000"/>
                <w:lang w:val="es-ES_tradnl" w:eastAsia="en-US"/>
              </w:rPr>
            </w:pPr>
            <w:r w:rsidRPr="003A5941">
              <w:rPr>
                <w:rFonts w:ascii="Calibri" w:hAnsi="Calibri" w:cs="Calibri"/>
                <w:color w:val="FFFFFF"/>
                <w:sz w:val="28"/>
                <w:szCs w:val="28"/>
                <w:highlight w:val="black"/>
                <w:lang w:val="es-AR"/>
              </w:rPr>
              <w:t>Oseltamivir - Profilaxis en Adultos</w:t>
            </w:r>
          </w:p>
        </w:tc>
      </w:tr>
      <w:tr w:rsidR="00816651" w:rsidRPr="004F6B79">
        <w:trPr>
          <w:trHeight w:val="234"/>
          <w:jc w:val="center"/>
        </w:trPr>
        <w:tc>
          <w:tcPr>
            <w:tcW w:w="2261" w:type="pct"/>
            <w:shd w:val="clear" w:color="auto" w:fill="DBE5F1"/>
          </w:tcPr>
          <w:p w:rsidR="00816651" w:rsidRPr="004F6B79" w:rsidRDefault="00816651" w:rsidP="00B1262F">
            <w:pPr>
              <w:autoSpaceDE w:val="0"/>
              <w:autoSpaceDN w:val="0"/>
              <w:adjustRightInd w:val="0"/>
              <w:jc w:val="both"/>
              <w:rPr>
                <w:rFonts w:ascii="Calibri" w:hAnsi="Calibri" w:cs="Calibri"/>
                <w:color w:val="1F497D"/>
                <w:lang w:val="es-ES_tradnl" w:eastAsia="en-US"/>
              </w:rPr>
            </w:pPr>
            <w:r w:rsidRPr="004F6B79">
              <w:rPr>
                <w:rFonts w:ascii="Calibri" w:hAnsi="Calibri" w:cs="Calibri"/>
                <w:color w:val="1F497D"/>
                <w:sz w:val="22"/>
                <w:szCs w:val="22"/>
                <w:lang w:val="es-ES_tradnl" w:eastAsia="en-US"/>
              </w:rPr>
              <w:t>Oseltamivir</w:t>
            </w:r>
          </w:p>
        </w:tc>
        <w:tc>
          <w:tcPr>
            <w:tcW w:w="2739" w:type="pct"/>
          </w:tcPr>
          <w:p w:rsidR="00816651" w:rsidRPr="004F6B79" w:rsidRDefault="00816651" w:rsidP="00B1262F">
            <w:pPr>
              <w:autoSpaceDE w:val="0"/>
              <w:autoSpaceDN w:val="0"/>
              <w:adjustRightInd w:val="0"/>
              <w:jc w:val="both"/>
              <w:rPr>
                <w:rFonts w:ascii="Calibri" w:hAnsi="Calibri" w:cs="Calibri"/>
                <w:color w:val="000000"/>
                <w:lang w:val="es-ES_tradnl" w:eastAsia="en-US"/>
              </w:rPr>
            </w:pPr>
            <w:r w:rsidRPr="004F6B79">
              <w:rPr>
                <w:rFonts w:ascii="Calibri" w:hAnsi="Calibri" w:cs="Calibri"/>
                <w:color w:val="000000"/>
                <w:sz w:val="22"/>
                <w:szCs w:val="22"/>
                <w:lang w:val="es-ES_tradnl" w:eastAsia="en-US"/>
              </w:rPr>
              <w:t>75 mg / día</w:t>
            </w:r>
          </w:p>
        </w:tc>
      </w:tr>
    </w:tbl>
    <w:p w:rsidR="00816651" w:rsidRPr="004F6B79" w:rsidRDefault="00816651" w:rsidP="003C3AAC">
      <w:pPr>
        <w:jc w:val="both"/>
        <w:rPr>
          <w:rFonts w:ascii="Calibri" w:hAnsi="Calibri" w:cs="Calibri"/>
          <w:lang w:eastAsia="es-AR"/>
        </w:rPr>
      </w:pPr>
    </w:p>
    <w:p w:rsidR="00816651" w:rsidRPr="004F6B79" w:rsidRDefault="00816651" w:rsidP="003C3AAC">
      <w:pPr>
        <w:jc w:val="both"/>
        <w:rPr>
          <w:rFonts w:ascii="Calibri" w:hAnsi="Calibri" w:cs="Calibri"/>
          <w:lang w:eastAsia="es-AR"/>
        </w:rPr>
      </w:pPr>
    </w:p>
    <w:p w:rsidR="00816651" w:rsidRPr="004F6B79" w:rsidRDefault="00816651"/>
    <w:sectPr w:rsidR="00816651" w:rsidRPr="004F6B79" w:rsidSect="001A3F0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048" w:rsidRDefault="00A94048" w:rsidP="003C3AAC">
      <w:r>
        <w:separator/>
      </w:r>
    </w:p>
  </w:endnote>
  <w:endnote w:type="continuationSeparator" w:id="1">
    <w:p w:rsidR="00A94048" w:rsidRDefault="00A94048" w:rsidP="003C3A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048" w:rsidRDefault="00A94048" w:rsidP="003C3AAC">
      <w:r>
        <w:separator/>
      </w:r>
    </w:p>
  </w:footnote>
  <w:footnote w:type="continuationSeparator" w:id="1">
    <w:p w:rsidR="00A94048" w:rsidRDefault="00A94048" w:rsidP="003C3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70307"/>
    <w:multiLevelType w:val="hybridMultilevel"/>
    <w:tmpl w:val="CAA497D8"/>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21E74453"/>
    <w:multiLevelType w:val="hybridMultilevel"/>
    <w:tmpl w:val="B19071E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2C52700D"/>
    <w:multiLevelType w:val="hybridMultilevel"/>
    <w:tmpl w:val="DAB010AC"/>
    <w:lvl w:ilvl="0" w:tplc="040A000F">
      <w:start w:val="1"/>
      <w:numFmt w:val="decimal"/>
      <w:lvlText w:val="%1."/>
      <w:lvlJc w:val="left"/>
      <w:pPr>
        <w:ind w:left="720" w:hanging="360"/>
      </w:pPr>
      <w:rPr>
        <w:rFonts w:cs="Times New Roman"/>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3">
    <w:nsid w:val="3BD81285"/>
    <w:multiLevelType w:val="hybridMultilevel"/>
    <w:tmpl w:val="37D09284"/>
    <w:lvl w:ilvl="0" w:tplc="040A000F">
      <w:start w:val="1"/>
      <w:numFmt w:val="decimal"/>
      <w:lvlText w:val="%1."/>
      <w:lvlJc w:val="left"/>
      <w:pPr>
        <w:ind w:left="720" w:hanging="360"/>
      </w:pPr>
      <w:rPr>
        <w:rFonts w:cs="Times New Roman"/>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4">
    <w:nsid w:val="3EFD3853"/>
    <w:multiLevelType w:val="hybridMultilevel"/>
    <w:tmpl w:val="FB580D00"/>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5">
    <w:nsid w:val="566C3E77"/>
    <w:multiLevelType w:val="hybridMultilevel"/>
    <w:tmpl w:val="324630BA"/>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58A03D96"/>
    <w:multiLevelType w:val="hybridMultilevel"/>
    <w:tmpl w:val="CCE64122"/>
    <w:lvl w:ilvl="0" w:tplc="2C0A000D">
      <w:start w:val="1"/>
      <w:numFmt w:val="bullet"/>
      <w:lvlText w:val=""/>
      <w:lvlJc w:val="left"/>
      <w:pPr>
        <w:ind w:left="1428" w:hanging="360"/>
      </w:pPr>
      <w:rPr>
        <w:rFonts w:ascii="Wingdings" w:hAnsi="Wingdings" w:hint="default"/>
      </w:rPr>
    </w:lvl>
    <w:lvl w:ilvl="1" w:tplc="2C0A0003">
      <w:start w:val="1"/>
      <w:numFmt w:val="bullet"/>
      <w:lvlText w:val="o"/>
      <w:lvlJc w:val="left"/>
      <w:pPr>
        <w:ind w:left="2148" w:hanging="360"/>
      </w:pPr>
      <w:rPr>
        <w:rFonts w:ascii="Courier New" w:hAnsi="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hint="default"/>
      </w:rPr>
    </w:lvl>
    <w:lvl w:ilvl="8" w:tplc="2C0A0005">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3C3AAC"/>
    <w:rsid w:val="00047843"/>
    <w:rsid w:val="000939AB"/>
    <w:rsid w:val="000C3D23"/>
    <w:rsid w:val="000D2655"/>
    <w:rsid w:val="000E73EC"/>
    <w:rsid w:val="001507F2"/>
    <w:rsid w:val="00194699"/>
    <w:rsid w:val="001A3F0E"/>
    <w:rsid w:val="0020503C"/>
    <w:rsid w:val="0029329D"/>
    <w:rsid w:val="002F130F"/>
    <w:rsid w:val="002F2532"/>
    <w:rsid w:val="00342D06"/>
    <w:rsid w:val="00384019"/>
    <w:rsid w:val="003A5941"/>
    <w:rsid w:val="003B620D"/>
    <w:rsid w:val="003C3AAC"/>
    <w:rsid w:val="0046283C"/>
    <w:rsid w:val="004D3451"/>
    <w:rsid w:val="004F6B79"/>
    <w:rsid w:val="00534589"/>
    <w:rsid w:val="005C2E5E"/>
    <w:rsid w:val="005D215B"/>
    <w:rsid w:val="005D707F"/>
    <w:rsid w:val="00622984"/>
    <w:rsid w:val="00655A80"/>
    <w:rsid w:val="006636D8"/>
    <w:rsid w:val="006973E6"/>
    <w:rsid w:val="006C7A42"/>
    <w:rsid w:val="007353B9"/>
    <w:rsid w:val="00774D70"/>
    <w:rsid w:val="007C31B6"/>
    <w:rsid w:val="007E1B07"/>
    <w:rsid w:val="00816651"/>
    <w:rsid w:val="0083259C"/>
    <w:rsid w:val="008913FC"/>
    <w:rsid w:val="008A7F96"/>
    <w:rsid w:val="008C790D"/>
    <w:rsid w:val="00916A46"/>
    <w:rsid w:val="00933002"/>
    <w:rsid w:val="0094503B"/>
    <w:rsid w:val="009D7E3D"/>
    <w:rsid w:val="00A76872"/>
    <w:rsid w:val="00A94048"/>
    <w:rsid w:val="00B1262F"/>
    <w:rsid w:val="00C351A4"/>
    <w:rsid w:val="00C862B7"/>
    <w:rsid w:val="00C866FE"/>
    <w:rsid w:val="00D059A6"/>
    <w:rsid w:val="00D0615D"/>
    <w:rsid w:val="00D211A7"/>
    <w:rsid w:val="00D34F07"/>
    <w:rsid w:val="00D66DCE"/>
    <w:rsid w:val="00EC0D34"/>
    <w:rsid w:val="00EC2CA4"/>
    <w:rsid w:val="00F315E1"/>
    <w:rsid w:val="00F97DFF"/>
    <w:rsid w:val="00FA76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AC"/>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3C3AAC"/>
    <w:rPr>
      <w:sz w:val="20"/>
      <w:szCs w:val="20"/>
    </w:rPr>
  </w:style>
  <w:style w:type="character" w:customStyle="1" w:styleId="TextonotapieCar">
    <w:name w:val="Texto nota pie Car"/>
    <w:basedOn w:val="Fuentedeprrafopredeter"/>
    <w:link w:val="Textonotapie"/>
    <w:uiPriority w:val="99"/>
    <w:locked/>
    <w:rsid w:val="003C3AAC"/>
    <w:rPr>
      <w:rFonts w:ascii="Times New Roman" w:hAnsi="Times New Roman" w:cs="Times New Roman"/>
      <w:sz w:val="20"/>
      <w:szCs w:val="20"/>
      <w:lang w:val="es-ES" w:eastAsia="es-ES"/>
    </w:rPr>
  </w:style>
  <w:style w:type="character" w:styleId="Refdenotaalpie">
    <w:name w:val="footnote reference"/>
    <w:basedOn w:val="Fuentedeprrafopredeter"/>
    <w:uiPriority w:val="99"/>
    <w:semiHidden/>
    <w:rsid w:val="003C3AAC"/>
    <w:rPr>
      <w:rFonts w:ascii="Times New Roman" w:hAnsi="Times New Roman" w:cs="Times New Roman"/>
      <w:vertAlign w:val="superscript"/>
    </w:rPr>
  </w:style>
  <w:style w:type="character" w:styleId="Hipervnculo">
    <w:name w:val="Hyperlink"/>
    <w:basedOn w:val="Fuentedeprrafopredeter"/>
    <w:uiPriority w:val="99"/>
    <w:rsid w:val="003C3AAC"/>
    <w:rPr>
      <w:rFonts w:ascii="Times New Roman" w:hAnsi="Times New Roman" w:cs="Times New Roman"/>
      <w:color w:val="0000FF"/>
      <w:u w:val="single"/>
    </w:rPr>
  </w:style>
  <w:style w:type="paragraph" w:customStyle="1" w:styleId="ListParagraph">
    <w:name w:val="List Paragraph"/>
    <w:basedOn w:val="Normal"/>
    <w:uiPriority w:val="99"/>
    <w:qFormat/>
    <w:rsid w:val="003C3AAC"/>
    <w:pPr>
      <w:ind w:left="720"/>
    </w:pPr>
  </w:style>
  <w:style w:type="character" w:customStyle="1" w:styleId="IntenseEmphasis">
    <w:name w:val="Intense Emphasis"/>
    <w:basedOn w:val="Fuentedeprrafopredeter"/>
    <w:uiPriority w:val="99"/>
    <w:qFormat/>
    <w:rsid w:val="003C3AAC"/>
    <w:rPr>
      <w:rFonts w:ascii="Times New Roman" w:hAnsi="Times New Roman" w:cs="Times New Roman"/>
      <w:b/>
      <w:bCs/>
      <w:i/>
      <w:iCs/>
      <w:color w:val="4F81BD"/>
    </w:rPr>
  </w:style>
  <w:style w:type="character" w:customStyle="1" w:styleId="apple-converted-space">
    <w:name w:val="apple-converted-space"/>
    <w:basedOn w:val="Fuentedeprrafopredeter"/>
    <w:rsid w:val="003A59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6102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Recomendaciones sobre el uso de antivirales para Influenza  </vt:lpstr>
    </vt:vector>
  </TitlesOfParts>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Recomendaciones sobre el uso de antivirales para Influenza</dc:title>
  <dc:creator>Susana</dc:creator>
  <cp:lastModifiedBy>Prensa</cp:lastModifiedBy>
  <cp:revision>2</cp:revision>
  <cp:lastPrinted>2017-05-03T16:02:00Z</cp:lastPrinted>
  <dcterms:created xsi:type="dcterms:W3CDTF">2018-04-04T15:36:00Z</dcterms:created>
  <dcterms:modified xsi:type="dcterms:W3CDTF">2018-04-04T15:36:00Z</dcterms:modified>
</cp:coreProperties>
</file>